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7D0202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e</w:t>
            </w:r>
            <w:r w:rsidR="00EF6FE1">
              <w:rPr>
                <w:rFonts w:ascii="Arial" w:hAnsi="Arial" w:cs="Arial"/>
                <w:lang w:val="es-ES_tradnl"/>
              </w:rPr>
              <w:t xml:space="preserve">l contratista deberá entregar </w:t>
            </w:r>
            <w:r w:rsidR="00EF6FE1">
              <w:rPr>
                <w:rFonts w:ascii="Arial" w:hAnsi="Arial" w:cs="Arial"/>
              </w:rPr>
              <w:t>r</w:t>
            </w:r>
            <w:r w:rsidR="00EF6FE1"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 w:rsidR="00EF6FE1"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="00EF6FE1">
              <w:rPr>
                <w:rFonts w:ascii="Arial" w:hAnsi="Arial" w:cs="Arial"/>
              </w:rPr>
              <w:t xml:space="preserve">el personal expuesto, </w:t>
            </w:r>
            <w:r w:rsidR="00EF6FE1"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AC" w:rsidRDefault="00AB05AC" w:rsidP="008A3D9D">
      <w:pPr>
        <w:spacing w:after="0" w:line="240" w:lineRule="auto"/>
      </w:pPr>
      <w:r>
        <w:separator/>
      </w:r>
    </w:p>
  </w:endnote>
  <w:endnote w:type="continuationSeparator" w:id="0">
    <w:p w:rsidR="00AB05AC" w:rsidRDefault="00AB05AC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AC" w:rsidRDefault="00AB05AC" w:rsidP="008A3D9D">
      <w:pPr>
        <w:spacing w:after="0" w:line="240" w:lineRule="auto"/>
      </w:pPr>
      <w:r>
        <w:separator/>
      </w:r>
    </w:p>
  </w:footnote>
  <w:footnote w:type="continuationSeparator" w:id="0">
    <w:p w:rsidR="00AB05AC" w:rsidRDefault="00AB05AC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2F19B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  <w:r w:rsidR="001341E7">
            <w:rPr>
              <w:rFonts w:ascii="Arial" w:hAnsi="Arial" w:cs="Arial"/>
              <w:b/>
            </w:rPr>
            <w:t xml:space="preserve"> – </w:t>
          </w:r>
          <w:r w:rsidR="002F19BD">
            <w:rPr>
              <w:rFonts w:ascii="Arial" w:hAnsi="Arial" w:cs="Arial"/>
              <w:b/>
            </w:rPr>
            <w:t xml:space="preserve">ANEXO </w:t>
          </w:r>
          <w:r w:rsidR="002E63EF">
            <w:rPr>
              <w:rFonts w:ascii="Arial" w:hAnsi="Arial" w:cs="Arial"/>
              <w:b/>
            </w:rPr>
            <w:t>3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19BD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19BD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CA"/>
    <w:rsid w:val="000A6A67"/>
    <w:rsid w:val="000D6293"/>
    <w:rsid w:val="000F71D0"/>
    <w:rsid w:val="001341E7"/>
    <w:rsid w:val="001A280F"/>
    <w:rsid w:val="002442BA"/>
    <w:rsid w:val="002D1940"/>
    <w:rsid w:val="002D4BBE"/>
    <w:rsid w:val="002E63EF"/>
    <w:rsid w:val="002F19BD"/>
    <w:rsid w:val="004D643A"/>
    <w:rsid w:val="005238E7"/>
    <w:rsid w:val="005C27E8"/>
    <w:rsid w:val="00652100"/>
    <w:rsid w:val="006878DF"/>
    <w:rsid w:val="007A6029"/>
    <w:rsid w:val="007D0202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AB05AC"/>
    <w:rsid w:val="00C67128"/>
    <w:rsid w:val="00C86BAE"/>
    <w:rsid w:val="00D06AC3"/>
    <w:rsid w:val="00DC0DC9"/>
    <w:rsid w:val="00DC3987"/>
    <w:rsid w:val="00E574BB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9CD13"/>
  <w15:docId w15:val="{1EF06EA0-1F7E-4605-BF91-8AD9CD0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7029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Andres Felipe Vengoechea Ricardo</cp:lastModifiedBy>
  <cp:revision>2</cp:revision>
  <dcterms:created xsi:type="dcterms:W3CDTF">2019-02-25T21:50:00Z</dcterms:created>
  <dcterms:modified xsi:type="dcterms:W3CDTF">2019-02-25T21:50:00Z</dcterms:modified>
</cp:coreProperties>
</file>