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7B7BB" w14:textId="77777777" w:rsidR="00BF4582" w:rsidRPr="00C7415A" w:rsidRDefault="009D7EA0" w:rsidP="00E269BE">
      <w:pPr>
        <w:pStyle w:val="Sinespaciad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Anexo 1</w:t>
      </w:r>
    </w:p>
    <w:p w14:paraId="09305B13" w14:textId="77777777" w:rsidR="00E269BE" w:rsidRPr="00C7415A" w:rsidRDefault="00E269BE" w:rsidP="00E269BE">
      <w:pPr>
        <w:pStyle w:val="Sinespaciado"/>
        <w:jc w:val="center"/>
        <w:rPr>
          <w:b/>
          <w:sz w:val="20"/>
          <w:szCs w:val="20"/>
        </w:rPr>
      </w:pPr>
    </w:p>
    <w:p w14:paraId="1F22AF16" w14:textId="77777777" w:rsidR="00E269BE" w:rsidRPr="00F97CB6" w:rsidRDefault="00A644F4" w:rsidP="00E269BE">
      <w:pPr>
        <w:pStyle w:val="Sinespaciado"/>
        <w:jc w:val="center"/>
        <w:rPr>
          <w:b/>
          <w:sz w:val="24"/>
          <w:szCs w:val="24"/>
        </w:rPr>
      </w:pPr>
      <w:r w:rsidRPr="00F97CB6">
        <w:rPr>
          <w:b/>
          <w:sz w:val="24"/>
          <w:szCs w:val="24"/>
        </w:rPr>
        <w:t>DESCRIPCIÓN DEL PROGRAMA</w:t>
      </w:r>
      <w:r w:rsidR="00F97CB6" w:rsidRPr="00F97CB6">
        <w:rPr>
          <w:b/>
          <w:sz w:val="24"/>
          <w:szCs w:val="24"/>
        </w:rPr>
        <w:t xml:space="preserve"> DE ACOMPAÑAMIENTO</w:t>
      </w:r>
    </w:p>
    <w:p w14:paraId="10A3A7E7" w14:textId="77777777" w:rsidR="0019245F" w:rsidRPr="00F97CB6" w:rsidRDefault="00A644F4" w:rsidP="00E269BE">
      <w:pPr>
        <w:pStyle w:val="Sinespaciado"/>
        <w:jc w:val="center"/>
        <w:rPr>
          <w:b/>
          <w:sz w:val="24"/>
          <w:szCs w:val="24"/>
        </w:rPr>
      </w:pPr>
      <w:r w:rsidRPr="00F97CB6">
        <w:rPr>
          <w:b/>
          <w:sz w:val="24"/>
          <w:szCs w:val="24"/>
        </w:rPr>
        <w:t>BANCÓLDEX EFICIENCIA ENERGÉTICA PARA HOTELES, CLÍNICAS Y HOSPITALES</w:t>
      </w:r>
    </w:p>
    <w:p w14:paraId="716CF247" w14:textId="77777777" w:rsidR="00E269BE" w:rsidRPr="00F97CB6" w:rsidRDefault="00E269BE" w:rsidP="00E269BE">
      <w:pPr>
        <w:pStyle w:val="Sinespaciado"/>
        <w:rPr>
          <w:sz w:val="24"/>
          <w:szCs w:val="24"/>
        </w:rPr>
      </w:pPr>
    </w:p>
    <w:p w14:paraId="7B9771D2" w14:textId="77777777" w:rsidR="00F97CB6" w:rsidRDefault="00F97CB6" w:rsidP="00F97CB6">
      <w:pPr>
        <w:pStyle w:val="Cuerpo"/>
        <w:spacing w:after="0" w:line="240" w:lineRule="auto"/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</w:pPr>
      <w:r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 xml:space="preserve">PROCEDIMIENTO PARA ACCEDER A LOS BENEFICIOS DE LA </w:t>
      </w:r>
      <w:r w:rsidRPr="00F97CB6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LÍNEA BANCÓLDEX EFICIENCIA ENERGÉTICA PARA HOTELES, CLÍNICAS Y HOSPITALES</w:t>
      </w:r>
    </w:p>
    <w:p w14:paraId="7BF67202" w14:textId="77777777" w:rsidR="005F31ED" w:rsidRDefault="005F31ED" w:rsidP="00F97CB6">
      <w:pPr>
        <w:pStyle w:val="Cuerpo"/>
        <w:spacing w:after="0" w:line="240" w:lineRule="auto"/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</w:pPr>
    </w:p>
    <w:p w14:paraId="3880A625" w14:textId="77777777" w:rsidR="005F31ED" w:rsidRDefault="005F31ED" w:rsidP="005F31ED">
      <w:pPr>
        <w:pStyle w:val="Cuerpo"/>
        <w:numPr>
          <w:ilvl w:val="0"/>
          <w:numId w:val="11"/>
        </w:numPr>
        <w:spacing w:after="0" w:line="240" w:lineRule="auto"/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</w:pPr>
      <w:r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Validación de ICONTEC</w:t>
      </w:r>
    </w:p>
    <w:p w14:paraId="3A72B72D" w14:textId="77777777" w:rsidR="00F97CB6" w:rsidRPr="00F97CB6" w:rsidRDefault="00F97CB6" w:rsidP="00F97CB6">
      <w:pPr>
        <w:pStyle w:val="Cuerpo"/>
        <w:spacing w:after="0" w:line="240" w:lineRule="auto"/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</w:pPr>
    </w:p>
    <w:p w14:paraId="5DEA1C1A" w14:textId="750B2DFC" w:rsidR="00F97CB6" w:rsidRDefault="00F97CB6" w:rsidP="005F31ED">
      <w:pPr>
        <w:pStyle w:val="Cuerpo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Para iniciar el proceso con Bancóldex tanto el hotel, clínica u hospital (</w:t>
      </w:r>
      <w:r w:rsidRPr="00A56F6B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en adelante</w:t>
      </w:r>
      <w:r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 xml:space="preserve"> “</w:t>
      </w:r>
      <w:r w:rsidR="008C4BBF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empresario</w:t>
      </w:r>
      <w:r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”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) como la empresa o consultor de servicios energéticos y/o proveedor de tecnología (en adelante “</w:t>
      </w:r>
      <w:r w:rsidRPr="00330C2E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ESE-PT</w:t>
      </w:r>
      <w:r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”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) deben enviar a la Oficina de Redescuento de Bancóldex </w:t>
      </w:r>
      <w:r w:rsid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la </w:t>
      </w:r>
      <w:r w:rsidRPr="00625EC2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carta de manifestación de interés de uso del sistema de información de eficiencia energética</w:t>
      </w:r>
      <w:r w:rsid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,</w:t>
      </w:r>
      <w:r w:rsidRPr="00625EC2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firmada 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por el representante legal junto con la documentación relacionada en el modelo de carta</w:t>
      </w:r>
      <w:r>
        <w:rPr>
          <w:rStyle w:val="Refdenotaalpie"/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footnoteReference w:id="1"/>
      </w:r>
      <w:r w:rsidR="009E4305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anexo 3 a esta descripción.</w:t>
      </w:r>
    </w:p>
    <w:p w14:paraId="7944FAB7" w14:textId="77777777" w:rsidR="00F97CB6" w:rsidRDefault="00F97CB6" w:rsidP="00F97CB6">
      <w:pPr>
        <w:pStyle w:val="Cuerpo"/>
        <w:spacing w:after="0" w:line="240" w:lineRule="auto"/>
        <w:ind w:left="720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</w:p>
    <w:p w14:paraId="6653468C" w14:textId="77777777" w:rsidR="00F97CB6" w:rsidRPr="004F0189" w:rsidRDefault="00F97CB6" w:rsidP="00F97CB6">
      <w:pPr>
        <w:pStyle w:val="Cuerpo"/>
        <w:numPr>
          <w:ilvl w:val="0"/>
          <w:numId w:val="10"/>
        </w:numPr>
        <w:spacing w:after="0" w:line="240" w:lineRule="auto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Una vez recibidas ambas cartas de expresión de interés, </w:t>
      </w:r>
      <w:r w:rsidRPr="00585ABF">
        <w:rPr>
          <w:color w:val="404040" w:themeColor="text1" w:themeTint="BF"/>
        </w:rPr>
        <w:t xml:space="preserve">Bancóldex </w:t>
      </w:r>
      <w:r>
        <w:rPr>
          <w:color w:val="404040" w:themeColor="text1" w:themeTint="BF"/>
        </w:rPr>
        <w:t xml:space="preserve">expide a cada uno </w:t>
      </w:r>
      <w:r w:rsidRPr="00585ABF">
        <w:rPr>
          <w:color w:val="404040" w:themeColor="text1" w:themeTint="BF"/>
        </w:rPr>
        <w:t>una comunicación</w:t>
      </w:r>
      <w:r>
        <w:rPr>
          <w:color w:val="404040" w:themeColor="text1" w:themeTint="BF"/>
        </w:rPr>
        <w:t xml:space="preserve"> que explica el proceso de asignación de usuario y contraseña </w:t>
      </w:r>
      <w:r w:rsidRPr="00585ABF">
        <w:rPr>
          <w:color w:val="404040" w:themeColor="text1" w:themeTint="BF"/>
        </w:rPr>
        <w:t>para hacer</w:t>
      </w:r>
      <w:r>
        <w:rPr>
          <w:color w:val="404040" w:themeColor="text1" w:themeTint="BF"/>
        </w:rPr>
        <w:t xml:space="preserve"> uso del Sistema Banca Electrónica de Bancóldex</w:t>
      </w:r>
    </w:p>
    <w:p w14:paraId="23C663AB" w14:textId="77777777" w:rsidR="00F97CB6" w:rsidRPr="00BA29A8" w:rsidRDefault="00F97CB6" w:rsidP="00F97CB6">
      <w:pPr>
        <w:pStyle w:val="Cuerpo"/>
        <w:spacing w:after="0" w:line="240" w:lineRule="auto"/>
        <w:ind w:left="720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 w:rsidRPr="00BA29A8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</w:t>
      </w:r>
    </w:p>
    <w:p w14:paraId="0CEA65CD" w14:textId="5BBC3F5E" w:rsidR="00F97CB6" w:rsidRDefault="008C4BBF" w:rsidP="005F31ED">
      <w:pPr>
        <w:pStyle w:val="Cuerpo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>
        <w:rPr>
          <w:color w:val="404040" w:themeColor="text1" w:themeTint="BF"/>
        </w:rPr>
        <w:t>Asignado</w:t>
      </w:r>
      <w:r w:rsidR="00F97CB6">
        <w:rPr>
          <w:color w:val="404040" w:themeColor="text1" w:themeTint="BF"/>
        </w:rPr>
        <w:t xml:space="preserve">s los usuarios y claves respectivas, </w:t>
      </w:r>
      <w:r w:rsidR="00F97CB6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la </w:t>
      </w:r>
      <w:r w:rsidR="00F97CB6" w:rsidRPr="008E78C7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ESE-PT</w:t>
      </w:r>
      <w:r w:rsidR="00F97CB6" w:rsidRPr="008E78C7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</w:t>
      </w:r>
      <w:r w:rsidR="00F97CB6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debe formular el proyecto de </w:t>
      </w:r>
      <w:r w:rsidR="00F97CB6" w:rsidRPr="008E78C7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ahorro energético </w:t>
      </w:r>
      <w:r w:rsidR="00F97CB6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en el Sistema Banca Electrónica de Bancóldex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,</w:t>
      </w:r>
      <w:r w:rsidR="00F97CB6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diligenciando la información correspondiente al Módulo 1, Módulo 2 y la de la(s) tecnología(s) que corresponda</w:t>
      </w:r>
    </w:p>
    <w:p w14:paraId="17501250" w14:textId="77777777" w:rsidR="00F97CB6" w:rsidRDefault="00F97CB6" w:rsidP="00F97CB6">
      <w:pPr>
        <w:pStyle w:val="Cuerpo"/>
        <w:spacing w:after="0" w:line="240" w:lineRule="auto"/>
        <w:ind w:left="720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</w:p>
    <w:p w14:paraId="75DB3A4F" w14:textId="77777777" w:rsidR="00F97CB6" w:rsidRDefault="00F97CB6" w:rsidP="005F31ED">
      <w:pPr>
        <w:pStyle w:val="Cuerpo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 w:rsidRPr="00BA7A39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Una vez 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finalizado el proceso de formulación del proyecto por parte de </w:t>
      </w:r>
      <w:r w:rsidRPr="00BA7A39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la </w:t>
      </w:r>
      <w:r w:rsidRPr="00BA7A39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ESE-PT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, el sistema le envía </w:t>
      </w:r>
      <w:r w:rsidRPr="00BA7A39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un correo a su cliente informándole que continúe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con</w:t>
      </w:r>
      <w:r w:rsidR="005F31ED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el proceso</w:t>
      </w:r>
    </w:p>
    <w:p w14:paraId="7658F231" w14:textId="77777777" w:rsidR="00F97CB6" w:rsidRDefault="00F97CB6" w:rsidP="00F97CB6">
      <w:pPr>
        <w:pStyle w:val="Cuerpo"/>
        <w:spacing w:after="0" w:line="240" w:lineRule="auto"/>
        <w:ind w:left="720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</w:p>
    <w:p w14:paraId="4D5027A1" w14:textId="111E00CE" w:rsidR="00F97CB6" w:rsidRDefault="00F97CB6" w:rsidP="005F31ED">
      <w:pPr>
        <w:pStyle w:val="Cuerpo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 w:rsidRPr="00BA7A39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El </w:t>
      </w:r>
      <w:r w:rsidR="009E4305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empresario</w:t>
      </w:r>
      <w:r w:rsidRPr="00BA7A39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debe ingresar al 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Sistema Banca Electrónica de Bancóldex</w:t>
      </w:r>
      <w:r w:rsidRPr="00BA7A39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con su usuario para revisar y aprobar el proyecto. Una vez aprobado recibirá por correo un archivo PDF que contiene el resumen y el código de proyecto el cual debe firmar y remitir al intermediario financiero para iniciar el trámite de la solicitud de crédito ante Bancóldex </w:t>
      </w:r>
    </w:p>
    <w:p w14:paraId="170D1FA3" w14:textId="77777777" w:rsidR="00F97CB6" w:rsidRDefault="00F97CB6" w:rsidP="00F97CB6">
      <w:pPr>
        <w:pStyle w:val="Cuerpo"/>
        <w:spacing w:after="0" w:line="240" w:lineRule="auto"/>
        <w:ind w:left="720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</w:p>
    <w:p w14:paraId="6D836304" w14:textId="77777777" w:rsidR="00F97CB6" w:rsidRDefault="00F97CB6" w:rsidP="005F31ED">
      <w:pPr>
        <w:pStyle w:val="Cuerpo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 w:rsidRPr="00B046C9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Una vez el intermediario financiero registre la solicitud de crédito en Banca Electrónica de Bancóldex, 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el sistema le solicitará digitar el código de proyecto y adjuntar el documento físico entregado por el cliente</w:t>
      </w:r>
    </w:p>
    <w:p w14:paraId="647A7022" w14:textId="77777777" w:rsidR="00F97CB6" w:rsidRDefault="00F97CB6" w:rsidP="00F97CB6">
      <w:pPr>
        <w:pStyle w:val="Cuerpo"/>
        <w:spacing w:after="0" w:line="240" w:lineRule="auto"/>
        <w:ind w:left="720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</w:p>
    <w:p w14:paraId="482CC6E8" w14:textId="77777777" w:rsidR="00F97CB6" w:rsidRDefault="005F31ED" w:rsidP="005F31ED">
      <w:pPr>
        <w:pStyle w:val="Cuerpo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Cumplido este paso Ba</w:t>
      </w:r>
      <w:r w:rsidR="00F97CB6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ncóldex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solicitará al</w:t>
      </w:r>
      <w:r w:rsidR="00F97CB6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</w:t>
      </w:r>
      <w:r w:rsidR="00F97CB6" w:rsidRPr="005F31ED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ICONTEC</w:t>
      </w:r>
      <w:r w:rsidR="00F97CB6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realizar</w:t>
      </w:r>
      <w:r w:rsidR="00F97CB6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la </w:t>
      </w:r>
      <w:r w:rsidR="00F97CB6" w:rsidRPr="005F4E7C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validación del </w:t>
      </w:r>
      <w:r w:rsidR="00F97CB6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proyecto en un plazo máximo de </w:t>
      </w:r>
      <w:r w:rsidR="00F97CB6" w:rsidRPr="005F4E7C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8 días calendario</w:t>
      </w:r>
      <w:r w:rsidR="00F97CB6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y una vez surtida esta actividad, Bancóldex </w:t>
      </w:r>
      <w:r w:rsidR="00F97CB6" w:rsidRPr="001A7C96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comunicará al respectivo intermediario </w:t>
      </w:r>
      <w:r w:rsidR="00F97CB6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financiero que puede continuar con el proceso de 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desembolso</w:t>
      </w:r>
    </w:p>
    <w:p w14:paraId="78D7841A" w14:textId="77777777" w:rsidR="005F31ED" w:rsidRDefault="005F31ED" w:rsidP="005F31ED">
      <w:pPr>
        <w:pStyle w:val="Prrafodelista"/>
        <w:rPr>
          <w:rFonts w:asciiTheme="minorHAnsi" w:eastAsiaTheme="minorEastAsia" w:hAnsiTheme="minorHAnsi" w:cstheme="minorBidi"/>
          <w:color w:val="404040" w:themeColor="text1" w:themeTint="BF"/>
        </w:rPr>
      </w:pPr>
    </w:p>
    <w:p w14:paraId="7EF3C0C5" w14:textId="38671E7F" w:rsidR="005F31ED" w:rsidRPr="005F31ED" w:rsidRDefault="005F31ED" w:rsidP="009E4305">
      <w:pPr>
        <w:pStyle w:val="Prrafodelista"/>
        <w:numPr>
          <w:ilvl w:val="0"/>
          <w:numId w:val="10"/>
        </w:numPr>
        <w:jc w:val="both"/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  <w:u w:color="000000"/>
          <w:lang w:val="es-CO" w:eastAsia="es-CO"/>
        </w:rPr>
      </w:pPr>
      <w:r w:rsidRPr="005F31ED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  <w:u w:color="000000"/>
          <w:lang w:val="es-CO" w:eastAsia="es-CO"/>
        </w:rPr>
        <w:t xml:space="preserve">Si durante la vida del proyecto, se  presentan diferencias en la medición de los ahorros obtenidos, entre el </w:t>
      </w:r>
      <w:r w:rsidR="008C4BBF">
        <w:rPr>
          <w:rFonts w:asciiTheme="minorHAnsi" w:eastAsiaTheme="minorEastAsia" w:hAnsiTheme="minorHAnsi" w:cstheme="minorBidi"/>
          <w:b/>
          <w:color w:val="404040" w:themeColor="text1" w:themeTint="BF"/>
          <w:sz w:val="22"/>
          <w:szCs w:val="22"/>
          <w:u w:color="000000"/>
          <w:lang w:val="es-CO" w:eastAsia="es-CO"/>
        </w:rPr>
        <w:t>empresario</w:t>
      </w:r>
      <w:r w:rsidRPr="005F31ED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  <w:u w:color="000000"/>
          <w:lang w:val="es-CO" w:eastAsia="es-CO"/>
        </w:rPr>
        <w:t xml:space="preserve"> y </w:t>
      </w:r>
      <w:r w:rsidR="008C4BBF">
        <w:rPr>
          <w:rFonts w:asciiTheme="minorHAnsi" w:eastAsiaTheme="minorEastAsia" w:hAnsiTheme="minorHAnsi" w:cstheme="minorBidi"/>
          <w:b/>
          <w:color w:val="404040" w:themeColor="text1" w:themeTint="BF"/>
          <w:sz w:val="22"/>
          <w:szCs w:val="22"/>
          <w:u w:color="000000"/>
          <w:lang w:val="es-CO" w:eastAsia="es-CO"/>
        </w:rPr>
        <w:t>ESE - PT</w:t>
      </w:r>
      <w:r w:rsidRPr="005F31ED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  <w:u w:color="000000"/>
          <w:lang w:val="es-CO" w:eastAsia="es-CO"/>
        </w:rPr>
        <w:t>, ICONTEC valida si se obtuvieron los ahorros estimados en el proyecto</w:t>
      </w:r>
    </w:p>
    <w:p w14:paraId="683731FC" w14:textId="3E60A55D" w:rsidR="005F31ED" w:rsidRPr="00EC2ACC" w:rsidRDefault="005F31ED" w:rsidP="005F31ED">
      <w:pPr>
        <w:pStyle w:val="Cuerpo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 w:rsidRPr="00EC2ACC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lastRenderedPageBreak/>
        <w:t>Semestralmente Bancóldex solicita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rá</w:t>
      </w:r>
      <w:r w:rsidRPr="00EC2ACC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al beneficiario del crédito la presentación de los resultados del proyecto de ahorro energético a través del Sistema Banca Electrónica de 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Bancóldex</w:t>
      </w:r>
      <w:r w:rsidRPr="00EC2ACC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, los cuales deben ser preparados por la </w:t>
      </w:r>
      <w:r w:rsidRPr="00EC2ACC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ESE-PT</w:t>
      </w:r>
      <w:r w:rsidRPr="00EC2ACC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y autorizados por el </w:t>
      </w:r>
      <w:r w:rsidR="008C4BBF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empresario</w:t>
      </w:r>
      <w:r w:rsidRPr="00EC2ACC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.</w:t>
      </w:r>
    </w:p>
    <w:p w14:paraId="28858A75" w14:textId="77777777" w:rsidR="005F31ED" w:rsidRPr="005F31ED" w:rsidRDefault="005F31ED" w:rsidP="005F31ED">
      <w:pPr>
        <w:pStyle w:val="Cuerpo"/>
        <w:spacing w:after="0" w:line="240" w:lineRule="auto"/>
        <w:ind w:left="720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</w:p>
    <w:p w14:paraId="261D724A" w14:textId="6B47CBDE" w:rsidR="005F31ED" w:rsidRPr="001A7C96" w:rsidRDefault="005F31ED" w:rsidP="005F31ED">
      <w:pPr>
        <w:pStyle w:val="Cuerpo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El costo de los tres roles que cumple ICONTEC en el programa, son asumidos por </w:t>
      </w:r>
      <w:r w:rsidR="008C4BBF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Bancóldex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con cargo a los recursos no reembolsables también recibidos del Fo</w:t>
      </w:r>
      <w:r w:rsid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ndo de Tecnologías Limpia – </w:t>
      </w:r>
      <w:proofErr w:type="gramStart"/>
      <w:r w:rsid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CTF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</w:t>
      </w:r>
      <w:proofErr w:type="gramEnd"/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  <w:vertAlign w:val="superscript"/>
        </w:rPr>
        <w:footnoteReference w:id="2"/>
      </w:r>
      <w:r w:rsid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.</w:t>
      </w:r>
    </w:p>
    <w:p w14:paraId="52B634CF" w14:textId="77777777" w:rsidR="00F97CB6" w:rsidRDefault="00F97CB6" w:rsidP="00F97CB6">
      <w:pPr>
        <w:pStyle w:val="Cuerpo"/>
        <w:spacing w:after="0" w:line="240" w:lineRule="auto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</w:p>
    <w:p w14:paraId="3314BE52" w14:textId="77777777" w:rsidR="00F97CB6" w:rsidRPr="005F31ED" w:rsidRDefault="005F31ED" w:rsidP="005F31ED">
      <w:pPr>
        <w:pStyle w:val="Cuerpo"/>
        <w:numPr>
          <w:ilvl w:val="0"/>
          <w:numId w:val="11"/>
        </w:numPr>
        <w:spacing w:after="0" w:line="240" w:lineRule="auto"/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</w:pPr>
      <w:r w:rsidRPr="005F31ED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Reducción de tasa</w:t>
      </w:r>
      <w:r w:rsidR="00F97CB6" w:rsidRPr="005F31ED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 xml:space="preserve"> </w:t>
      </w:r>
    </w:p>
    <w:p w14:paraId="3DD61074" w14:textId="77777777" w:rsidR="00F97CB6" w:rsidRDefault="00F97CB6" w:rsidP="00F97CB6">
      <w:pPr>
        <w:pStyle w:val="Cuerpo"/>
        <w:spacing w:after="0" w:line="240" w:lineRule="auto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</w:p>
    <w:p w14:paraId="5842029D" w14:textId="0A37B52F" w:rsidR="00F97CB6" w:rsidRDefault="00F97CB6" w:rsidP="005F31ED">
      <w:pPr>
        <w:pStyle w:val="Cuerpo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 w:rsidRPr="000C3222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Después del desembolso de los recursos de crédito y una vez implementado el proyecto, la </w:t>
      </w:r>
      <w:r w:rsidRPr="000C3222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ESE-PT</w:t>
      </w:r>
      <w:r w:rsidRPr="000C3222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debe ingresar con su usuario al Sistema Banca Electrónica de </w:t>
      </w: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Bancóldex</w:t>
      </w:r>
      <w:r w:rsid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,</w:t>
      </w:r>
      <w:r w:rsidRPr="000C3222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diligenciar la información correspondiente a los Módulos 3 y 4 y enviarlos para aprobación del </w:t>
      </w:r>
      <w:r w:rsidR="009E4305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empresario</w:t>
      </w:r>
      <w:r w:rsidRPr="000C3222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</w:t>
      </w:r>
    </w:p>
    <w:p w14:paraId="776B1E05" w14:textId="77777777" w:rsidR="00F97CB6" w:rsidRDefault="00F97CB6" w:rsidP="005F31ED">
      <w:pPr>
        <w:pStyle w:val="Cuerpo"/>
        <w:spacing w:after="0" w:line="240" w:lineRule="auto"/>
        <w:ind w:left="720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</w:p>
    <w:p w14:paraId="636B8F9D" w14:textId="4DCF778D" w:rsidR="005F31ED" w:rsidRDefault="00F97CB6" w:rsidP="005F31ED">
      <w:pPr>
        <w:pStyle w:val="Cuerpo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 w:rsidRPr="000C3222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El </w:t>
      </w:r>
      <w:r w:rsidR="009E4305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empresario</w:t>
      </w:r>
      <w:r w:rsidRPr="000C3222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debe aprobar la información diligenciada por la </w:t>
      </w:r>
      <w:r w:rsidRPr="000C3222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ESE-PT</w:t>
      </w:r>
      <w:r w:rsidRPr="000C3222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ingresando con su usuario al sistema y adicionalmente debe programar la visita de verificación con ICONTEC en el sitio de implementación del proyecto, la cual debe realizarse en un plazo máximo de 12 meses contados a partir de la fecha del desembolso del crédito</w:t>
      </w:r>
    </w:p>
    <w:p w14:paraId="30716628" w14:textId="77777777" w:rsidR="005F31ED" w:rsidRDefault="005F31ED" w:rsidP="005F31ED">
      <w:pPr>
        <w:pStyle w:val="Prrafodelista"/>
        <w:rPr>
          <w:rFonts w:asciiTheme="minorHAnsi" w:eastAsiaTheme="minorEastAsia" w:hAnsiTheme="minorHAnsi" w:cstheme="minorBidi"/>
          <w:color w:val="404040" w:themeColor="text1" w:themeTint="BF"/>
        </w:rPr>
      </w:pPr>
    </w:p>
    <w:p w14:paraId="0968EA7F" w14:textId="77777777" w:rsidR="00F97CB6" w:rsidRDefault="005F31ED" w:rsidP="005F31ED">
      <w:pPr>
        <w:pStyle w:val="Cuerpo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Con el cumplimiento de ésta verificación se activará la reducción de tasa de redescuento e interés de la operación</w:t>
      </w:r>
      <w:r w:rsidR="00F97CB6" w:rsidRPr="000C3222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</w:t>
      </w:r>
    </w:p>
    <w:p w14:paraId="18F8B513" w14:textId="77777777" w:rsidR="00A20C37" w:rsidRPr="00C7415A" w:rsidRDefault="00A20C37" w:rsidP="00E269BE">
      <w:pPr>
        <w:pStyle w:val="Cuerpo"/>
        <w:spacing w:after="0" w:line="240" w:lineRule="auto"/>
        <w:rPr>
          <w:rFonts w:asciiTheme="minorHAnsi" w:eastAsiaTheme="minorEastAsia" w:hAnsiTheme="minorHAnsi" w:cstheme="minorBidi"/>
          <w:color w:val="404040" w:themeColor="text1" w:themeTint="BF"/>
          <w:sz w:val="20"/>
          <w:szCs w:val="20"/>
          <w:bdr w:val="none" w:sz="0" w:space="0" w:color="auto"/>
        </w:rPr>
      </w:pPr>
    </w:p>
    <w:p w14:paraId="18475074" w14:textId="77777777" w:rsidR="005F31ED" w:rsidRPr="005F31ED" w:rsidRDefault="00C45B6C" w:rsidP="00C83534">
      <w:pPr>
        <w:pStyle w:val="Cuerpo"/>
        <w:numPr>
          <w:ilvl w:val="0"/>
          <w:numId w:val="11"/>
        </w:numPr>
        <w:spacing w:after="0" w:line="240" w:lineRule="auto"/>
        <w:jc w:val="both"/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</w:pPr>
      <w:r w:rsidRPr="005F31ED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 xml:space="preserve">Póliza de cumplimiento </w:t>
      </w:r>
      <w:r w:rsidR="000F092C" w:rsidRPr="005F31ED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 xml:space="preserve">de eficiencia energética </w:t>
      </w:r>
      <w:r w:rsidRPr="005F31ED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que ofrece Seguros Generales Suramericana</w:t>
      </w:r>
      <w:r w:rsidR="000F092C" w:rsidRPr="005F31ED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 xml:space="preserve"> SURA</w:t>
      </w:r>
      <w:r w:rsidRPr="005F31ED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 xml:space="preserve"> </w:t>
      </w:r>
      <w:r w:rsidR="00C83534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 xml:space="preserve">y </w:t>
      </w:r>
      <w:r w:rsidR="009008BA">
        <w:rPr>
          <w:rFonts w:asciiTheme="minorHAnsi" w:eastAsiaTheme="minorEastAsia" w:hAnsiTheme="minorHAnsi" w:cstheme="minorBidi"/>
          <w:b/>
          <w:color w:val="FF0000"/>
          <w:bdr w:val="none" w:sz="0" w:space="0" w:color="auto"/>
        </w:rPr>
        <w:t xml:space="preserve"> </w:t>
      </w:r>
      <w:r w:rsidR="00C83534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Contrato de riesgo compartido</w:t>
      </w:r>
    </w:p>
    <w:p w14:paraId="02E62E9D" w14:textId="77777777" w:rsidR="005F31ED" w:rsidRDefault="005F31ED" w:rsidP="005F31ED">
      <w:pPr>
        <w:pStyle w:val="Cuerpo"/>
        <w:spacing w:after="0" w:line="240" w:lineRule="auto"/>
        <w:ind w:left="720"/>
        <w:rPr>
          <w:rFonts w:asciiTheme="minorHAnsi" w:eastAsiaTheme="minorEastAsia" w:hAnsiTheme="minorHAnsi" w:cstheme="minorBidi"/>
          <w:b/>
          <w:color w:val="404040" w:themeColor="text1" w:themeTint="BF"/>
          <w:sz w:val="20"/>
          <w:szCs w:val="20"/>
          <w:bdr w:val="none" w:sz="0" w:space="0" w:color="auto"/>
        </w:rPr>
      </w:pPr>
    </w:p>
    <w:p w14:paraId="5396E08D" w14:textId="255A2A41" w:rsidR="00C45B6C" w:rsidRPr="008C4BBF" w:rsidRDefault="00C83534" w:rsidP="00C83534">
      <w:pPr>
        <w:pStyle w:val="Cuerpo"/>
        <w:spacing w:after="0" w:line="240" w:lineRule="auto"/>
        <w:ind w:left="720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A través de ésta póliza </w:t>
      </w:r>
      <w:r w:rsidRPr="008C4BBF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se cubren parcialmente los perjuicios derivados de la no obtención de los ahorros energéticos estimados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en </w:t>
      </w:r>
      <w:r w:rsidR="008C4BBF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el proyecto atribuible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al tomador de la póliza, es decir, la</w:t>
      </w:r>
      <w:r w:rsidR="000F092C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</w:t>
      </w:r>
      <w:r w:rsidR="008C4BBF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ESE - TP</w:t>
      </w:r>
      <w:r w:rsidR="000F092C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, 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en favor de</w:t>
      </w:r>
      <w:r w:rsid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l </w:t>
      </w:r>
      <w:r w:rsidR="008C4BBF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empresario</w:t>
      </w:r>
      <w:r w:rsidR="000F092C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.</w:t>
      </w:r>
    </w:p>
    <w:p w14:paraId="5E315ECF" w14:textId="77777777" w:rsidR="00C45B6C" w:rsidRPr="008C4BBF" w:rsidRDefault="00C45B6C" w:rsidP="00C83534">
      <w:pPr>
        <w:pStyle w:val="Cuerpo"/>
        <w:spacing w:after="0" w:line="240" w:lineRule="auto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</w:p>
    <w:p w14:paraId="270F1706" w14:textId="05C061E7" w:rsidR="00C45B6C" w:rsidRPr="008C4BBF" w:rsidRDefault="00C45B6C" w:rsidP="00C83534">
      <w:pPr>
        <w:pStyle w:val="Cuerpo"/>
        <w:spacing w:after="0" w:line="240" w:lineRule="auto"/>
        <w:ind w:left="720"/>
        <w:jc w:val="both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Para utilizar esta póliza</w:t>
      </w:r>
      <w:r w:rsidR="00E269BE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, </w:t>
      </w:r>
      <w:r w:rsidR="000F092C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Seguros Generales Suramericana SURA 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requiere que las partes hagan </w:t>
      </w:r>
      <w:r w:rsid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uso del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</w:t>
      </w:r>
      <w:r w:rsidR="000F092C" w:rsidRPr="008C4BBF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C</w:t>
      </w:r>
      <w:r w:rsidRPr="008C4BBF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 xml:space="preserve">ontrato </w:t>
      </w:r>
      <w:r w:rsidR="000F092C" w:rsidRPr="008C4BBF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 xml:space="preserve">de riesgo compartido </w:t>
      </w:r>
      <w:r w:rsidRPr="008C4BBF">
        <w:rPr>
          <w:rFonts w:asciiTheme="minorHAnsi" w:eastAsiaTheme="minorEastAsia" w:hAnsiTheme="minorHAnsi" w:cstheme="minorBidi"/>
          <w:b/>
          <w:color w:val="404040" w:themeColor="text1" w:themeTint="BF"/>
          <w:bdr w:val="none" w:sz="0" w:space="0" w:color="auto"/>
        </w:rPr>
        <w:t>desarrollado en el marco del programa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, que determina que un </w:t>
      </w:r>
      <w:r w:rsid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10%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</w:t>
      </w:r>
      <w:r w:rsid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del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monto total </w:t>
      </w:r>
      <w:r w:rsidR="009E4305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del ahorro del proyecto</w:t>
      </w:r>
      <w:r w:rsidR="00A6164F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,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será retenido por </w:t>
      </w:r>
      <w:r w:rsid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la aseguradora para</w:t>
      </w:r>
      <w:r w:rsidR="00A6164F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</w:t>
      </w:r>
      <w:r w:rsid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>cubrir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 el riesgo </w:t>
      </w:r>
      <w:r w:rsidR="00A6164F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de no obtención de 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los ahorros estimados </w:t>
      </w:r>
      <w:r w:rsidR="00A6164F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por 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la empresa </w:t>
      </w:r>
      <w:r w:rsidR="00A6164F"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o consultor </w:t>
      </w:r>
      <w:r w:rsidRPr="008C4BBF"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  <w:t xml:space="preserve">de servicios energéticos y/o proveedor de tecnología. </w:t>
      </w:r>
    </w:p>
    <w:p w14:paraId="08F30345" w14:textId="77777777" w:rsidR="00C45B6C" w:rsidRPr="008C4BBF" w:rsidRDefault="00C45B6C" w:rsidP="00E269BE">
      <w:pPr>
        <w:pStyle w:val="Cuerpo"/>
        <w:spacing w:after="0" w:line="240" w:lineRule="auto"/>
        <w:rPr>
          <w:rFonts w:asciiTheme="minorHAnsi" w:eastAsiaTheme="minorEastAsia" w:hAnsiTheme="minorHAnsi" w:cstheme="minorBidi"/>
          <w:color w:val="404040" w:themeColor="text1" w:themeTint="BF"/>
          <w:bdr w:val="none" w:sz="0" w:space="0" w:color="auto"/>
        </w:rPr>
      </w:pPr>
    </w:p>
    <w:p w14:paraId="6DD1297B" w14:textId="77777777" w:rsidR="00C7415A" w:rsidRPr="008C4BBF" w:rsidRDefault="00C7415A" w:rsidP="00C7415A">
      <w:pPr>
        <w:pStyle w:val="Prrafodelista"/>
        <w:ind w:left="0"/>
        <w:jc w:val="center"/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  <w:u w:color="000000"/>
          <w:lang w:val="es-CO" w:eastAsia="es-CO"/>
        </w:rPr>
      </w:pPr>
    </w:p>
    <w:p w14:paraId="0C315576" w14:textId="77777777" w:rsidR="00534CE4" w:rsidRDefault="00534CE4" w:rsidP="002433AC">
      <w:pPr>
        <w:pStyle w:val="Prrafodelista"/>
        <w:ind w:left="0"/>
        <w:rPr>
          <w:rFonts w:asciiTheme="minorHAnsi" w:hAnsiTheme="minorHAnsi"/>
          <w:b/>
          <w:szCs w:val="24"/>
        </w:rPr>
      </w:pPr>
    </w:p>
    <w:p w14:paraId="5BA85A6B" w14:textId="77777777" w:rsidR="00534CE4" w:rsidRDefault="00534CE4" w:rsidP="002433AC">
      <w:pPr>
        <w:pStyle w:val="Prrafodelista"/>
        <w:ind w:left="0"/>
        <w:rPr>
          <w:rFonts w:asciiTheme="minorHAnsi" w:hAnsiTheme="minorHAnsi"/>
          <w:b/>
          <w:szCs w:val="24"/>
        </w:rPr>
      </w:pPr>
    </w:p>
    <w:sectPr w:rsidR="00534C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F4757" w14:textId="77777777" w:rsidR="009B33BF" w:rsidRDefault="009B33BF" w:rsidP="003419E1">
      <w:pPr>
        <w:spacing w:after="0" w:line="240" w:lineRule="auto"/>
      </w:pPr>
      <w:r>
        <w:separator/>
      </w:r>
    </w:p>
  </w:endnote>
  <w:endnote w:type="continuationSeparator" w:id="0">
    <w:p w14:paraId="0D07C509" w14:textId="77777777" w:rsidR="009B33BF" w:rsidRDefault="009B33BF" w:rsidP="0034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2F021" w14:textId="77777777" w:rsidR="009B33BF" w:rsidRDefault="009B33BF" w:rsidP="003419E1">
      <w:pPr>
        <w:spacing w:after="0" w:line="240" w:lineRule="auto"/>
      </w:pPr>
      <w:r>
        <w:separator/>
      </w:r>
    </w:p>
  </w:footnote>
  <w:footnote w:type="continuationSeparator" w:id="0">
    <w:p w14:paraId="5145B747" w14:textId="77777777" w:rsidR="009B33BF" w:rsidRDefault="009B33BF" w:rsidP="003419E1">
      <w:pPr>
        <w:spacing w:after="0" w:line="240" w:lineRule="auto"/>
      </w:pPr>
      <w:r>
        <w:continuationSeparator/>
      </w:r>
    </w:p>
  </w:footnote>
  <w:footnote w:id="1">
    <w:p w14:paraId="3F88036B" w14:textId="6778C7F9" w:rsidR="00F97CB6" w:rsidRPr="00952FBF" w:rsidRDefault="00F97CB6" w:rsidP="00F97CB6">
      <w:pPr>
        <w:pStyle w:val="Textonotapie"/>
        <w:rPr>
          <w:rFonts w:asciiTheme="minorHAnsi" w:hAnsiTheme="minorHAnsi"/>
          <w:sz w:val="18"/>
          <w:szCs w:val="18"/>
        </w:rPr>
      </w:pPr>
      <w:r w:rsidRPr="00952FBF">
        <w:rPr>
          <w:rStyle w:val="Refdenotaalpie"/>
          <w:rFonts w:asciiTheme="minorHAnsi" w:hAnsiTheme="minorHAnsi"/>
          <w:sz w:val="18"/>
          <w:szCs w:val="18"/>
        </w:rPr>
        <w:footnoteRef/>
      </w:r>
      <w:r w:rsidRPr="00952FBF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Consultar </w:t>
      </w:r>
      <w:r w:rsidRPr="00952FBF">
        <w:rPr>
          <w:rFonts w:asciiTheme="minorHAnsi" w:hAnsiTheme="minorHAnsi"/>
          <w:sz w:val="18"/>
          <w:szCs w:val="18"/>
        </w:rPr>
        <w:t xml:space="preserve">Anexo </w:t>
      </w:r>
      <w:r w:rsidR="004F0FB2">
        <w:rPr>
          <w:rFonts w:asciiTheme="minorHAnsi" w:hAnsiTheme="minorHAnsi"/>
          <w:sz w:val="18"/>
          <w:szCs w:val="18"/>
        </w:rPr>
        <w:t>3</w:t>
      </w:r>
      <w:r w:rsidRPr="00952FBF">
        <w:rPr>
          <w:rFonts w:asciiTheme="minorHAnsi" w:hAnsiTheme="minorHAnsi"/>
          <w:sz w:val="18"/>
          <w:szCs w:val="18"/>
        </w:rPr>
        <w:t xml:space="preserve">. Modelo de Carta de manifestación de interés de uso del </w:t>
      </w:r>
      <w:r>
        <w:rPr>
          <w:rFonts w:asciiTheme="minorHAnsi" w:hAnsiTheme="minorHAnsi"/>
          <w:sz w:val="18"/>
          <w:szCs w:val="18"/>
        </w:rPr>
        <w:t>S</w:t>
      </w:r>
      <w:r w:rsidRPr="00952FBF">
        <w:rPr>
          <w:rFonts w:asciiTheme="minorHAnsi" w:hAnsiTheme="minorHAnsi"/>
          <w:sz w:val="18"/>
          <w:szCs w:val="18"/>
        </w:rPr>
        <w:t xml:space="preserve">istema </w:t>
      </w:r>
      <w:r>
        <w:rPr>
          <w:rFonts w:asciiTheme="minorHAnsi" w:hAnsiTheme="minorHAnsi"/>
          <w:sz w:val="18"/>
          <w:szCs w:val="18"/>
        </w:rPr>
        <w:t>Banca Electrónica de Bancóldex</w:t>
      </w:r>
      <w:r w:rsidRPr="00952FBF">
        <w:rPr>
          <w:rFonts w:asciiTheme="minorHAnsi" w:hAnsiTheme="minorHAnsi"/>
          <w:sz w:val="18"/>
          <w:szCs w:val="18"/>
        </w:rPr>
        <w:t xml:space="preserve"> </w:t>
      </w:r>
    </w:p>
  </w:footnote>
  <w:footnote w:id="2">
    <w:p w14:paraId="5FF7FCA1" w14:textId="03440745" w:rsidR="005F31ED" w:rsidRPr="00DD7603" w:rsidRDefault="005F31ED" w:rsidP="005F31ED">
      <w:pPr>
        <w:pStyle w:val="Textonotapie"/>
      </w:pPr>
      <w:r w:rsidRPr="00465B0A">
        <w:rPr>
          <w:rStyle w:val="Refdenotaalpie"/>
          <w:rFonts w:asciiTheme="minorHAnsi" w:hAnsiTheme="minorHAnsi"/>
          <w:sz w:val="18"/>
          <w:szCs w:val="18"/>
        </w:rPr>
        <w:footnoteRef/>
      </w:r>
      <w:r w:rsidRPr="00465B0A">
        <w:rPr>
          <w:rFonts w:asciiTheme="minorHAnsi" w:hAnsiTheme="minorHAnsi"/>
          <w:sz w:val="18"/>
          <w:szCs w:val="18"/>
        </w:rPr>
        <w:t xml:space="preserve"> </w:t>
      </w:r>
      <w:r w:rsidR="009E4305">
        <w:rPr>
          <w:rFonts w:asciiTheme="minorHAnsi" w:hAnsiTheme="minorHAnsi"/>
          <w:sz w:val="18"/>
          <w:szCs w:val="18"/>
        </w:rPr>
        <w:t>El programa de acompañamiento</w:t>
      </w:r>
      <w:r w:rsidRPr="00465B0A">
        <w:rPr>
          <w:rFonts w:asciiTheme="minorHAnsi" w:hAnsiTheme="minorHAnsi"/>
          <w:sz w:val="18"/>
          <w:szCs w:val="18"/>
        </w:rPr>
        <w:t xml:space="preserve"> asumirá los costos de: una (1) validación de</w:t>
      </w:r>
      <w:r>
        <w:rPr>
          <w:rFonts w:asciiTheme="minorHAnsi" w:hAnsiTheme="minorHAnsi"/>
          <w:sz w:val="18"/>
          <w:szCs w:val="18"/>
        </w:rPr>
        <w:t xml:space="preserve"> </w:t>
      </w:r>
      <w:r w:rsidRPr="00465B0A">
        <w:rPr>
          <w:rFonts w:asciiTheme="minorHAnsi" w:hAnsiTheme="minorHAnsi"/>
          <w:sz w:val="18"/>
          <w:szCs w:val="18"/>
        </w:rPr>
        <w:t>l</w:t>
      </w:r>
      <w:r>
        <w:rPr>
          <w:rFonts w:asciiTheme="minorHAnsi" w:hAnsiTheme="minorHAnsi"/>
          <w:sz w:val="18"/>
          <w:szCs w:val="18"/>
        </w:rPr>
        <w:t>a Propuesta del Proyecto, una (1) visita de ICONTEC en el sitio de implementación del proyecto y una (1) validación de la obtención de los ahorros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56E4"/>
    <w:multiLevelType w:val="hybridMultilevel"/>
    <w:tmpl w:val="5930DB7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DBA"/>
    <w:multiLevelType w:val="hybridMultilevel"/>
    <w:tmpl w:val="4F98E6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32B3"/>
    <w:multiLevelType w:val="hybridMultilevel"/>
    <w:tmpl w:val="727ED9B2"/>
    <w:lvl w:ilvl="0" w:tplc="27D81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66948">
      <w:start w:val="5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6D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00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FE1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44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AB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41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2F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5F6B6A"/>
    <w:multiLevelType w:val="hybridMultilevel"/>
    <w:tmpl w:val="E5E0765C"/>
    <w:lvl w:ilvl="0" w:tplc="DA28C7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322D8"/>
    <w:multiLevelType w:val="hybridMultilevel"/>
    <w:tmpl w:val="25905476"/>
    <w:lvl w:ilvl="0" w:tplc="649AC9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66168"/>
    <w:multiLevelType w:val="hybridMultilevel"/>
    <w:tmpl w:val="01A22428"/>
    <w:lvl w:ilvl="0" w:tplc="EB7A2CE0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0C04B1"/>
    <w:multiLevelType w:val="hybridMultilevel"/>
    <w:tmpl w:val="B21EB7EE"/>
    <w:lvl w:ilvl="0" w:tplc="405468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D056E"/>
    <w:multiLevelType w:val="hybridMultilevel"/>
    <w:tmpl w:val="B8320F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336A5"/>
    <w:multiLevelType w:val="hybridMultilevel"/>
    <w:tmpl w:val="043486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865AA"/>
    <w:multiLevelType w:val="hybridMultilevel"/>
    <w:tmpl w:val="E54660F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E6311"/>
    <w:multiLevelType w:val="hybridMultilevel"/>
    <w:tmpl w:val="B6DEE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F3EB1"/>
    <w:multiLevelType w:val="hybridMultilevel"/>
    <w:tmpl w:val="F7366A04"/>
    <w:lvl w:ilvl="0" w:tplc="8EFCFDC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C7"/>
    <w:rsid w:val="000265A1"/>
    <w:rsid w:val="00026B7F"/>
    <w:rsid w:val="000418C3"/>
    <w:rsid w:val="00043B52"/>
    <w:rsid w:val="00053624"/>
    <w:rsid w:val="000809AE"/>
    <w:rsid w:val="000A3F84"/>
    <w:rsid w:val="000B3959"/>
    <w:rsid w:val="000C2608"/>
    <w:rsid w:val="000D12E7"/>
    <w:rsid w:val="000D6683"/>
    <w:rsid w:val="000F092C"/>
    <w:rsid w:val="000F279D"/>
    <w:rsid w:val="001134FB"/>
    <w:rsid w:val="00114963"/>
    <w:rsid w:val="00116536"/>
    <w:rsid w:val="001413C2"/>
    <w:rsid w:val="0014489A"/>
    <w:rsid w:val="00151998"/>
    <w:rsid w:val="0019245F"/>
    <w:rsid w:val="001964F7"/>
    <w:rsid w:val="001A4CA0"/>
    <w:rsid w:val="001C27F2"/>
    <w:rsid w:val="001D11CE"/>
    <w:rsid w:val="001D514E"/>
    <w:rsid w:val="00207150"/>
    <w:rsid w:val="0022465F"/>
    <w:rsid w:val="002433AC"/>
    <w:rsid w:val="002575D8"/>
    <w:rsid w:val="002753D3"/>
    <w:rsid w:val="00282261"/>
    <w:rsid w:val="00287DBF"/>
    <w:rsid w:val="002B73D3"/>
    <w:rsid w:val="002B7AB1"/>
    <w:rsid w:val="002C783A"/>
    <w:rsid w:val="002D16C6"/>
    <w:rsid w:val="002D1EA6"/>
    <w:rsid w:val="002E699F"/>
    <w:rsid w:val="00306014"/>
    <w:rsid w:val="00335B34"/>
    <w:rsid w:val="003419E1"/>
    <w:rsid w:val="0036102B"/>
    <w:rsid w:val="00361CEE"/>
    <w:rsid w:val="0036617A"/>
    <w:rsid w:val="0038195F"/>
    <w:rsid w:val="00391A4D"/>
    <w:rsid w:val="00393278"/>
    <w:rsid w:val="003A22C2"/>
    <w:rsid w:val="003B102B"/>
    <w:rsid w:val="003B63E2"/>
    <w:rsid w:val="003B747E"/>
    <w:rsid w:val="003C1CBE"/>
    <w:rsid w:val="003D17B0"/>
    <w:rsid w:val="003E0005"/>
    <w:rsid w:val="003E7318"/>
    <w:rsid w:val="003F59A7"/>
    <w:rsid w:val="004270F0"/>
    <w:rsid w:val="004426F1"/>
    <w:rsid w:val="00451F11"/>
    <w:rsid w:val="004523A3"/>
    <w:rsid w:val="004663B4"/>
    <w:rsid w:val="00471666"/>
    <w:rsid w:val="00490148"/>
    <w:rsid w:val="00492FA3"/>
    <w:rsid w:val="004A53D2"/>
    <w:rsid w:val="004B13DC"/>
    <w:rsid w:val="004B4821"/>
    <w:rsid w:val="004E686D"/>
    <w:rsid w:val="004F0FB2"/>
    <w:rsid w:val="004F38F6"/>
    <w:rsid w:val="00501BB3"/>
    <w:rsid w:val="00510E14"/>
    <w:rsid w:val="00530213"/>
    <w:rsid w:val="00534CE4"/>
    <w:rsid w:val="00534E13"/>
    <w:rsid w:val="0055109F"/>
    <w:rsid w:val="005540B0"/>
    <w:rsid w:val="0057240D"/>
    <w:rsid w:val="005828E3"/>
    <w:rsid w:val="005846F3"/>
    <w:rsid w:val="005A1E53"/>
    <w:rsid w:val="005B06C0"/>
    <w:rsid w:val="005B2D06"/>
    <w:rsid w:val="005D1260"/>
    <w:rsid w:val="005D49C1"/>
    <w:rsid w:val="005F05CB"/>
    <w:rsid w:val="005F31ED"/>
    <w:rsid w:val="005F613C"/>
    <w:rsid w:val="00611DBC"/>
    <w:rsid w:val="006376A3"/>
    <w:rsid w:val="00654800"/>
    <w:rsid w:val="006710D0"/>
    <w:rsid w:val="00673342"/>
    <w:rsid w:val="006A2E57"/>
    <w:rsid w:val="006B72DE"/>
    <w:rsid w:val="006B7709"/>
    <w:rsid w:val="006E0AF3"/>
    <w:rsid w:val="006E38F1"/>
    <w:rsid w:val="006E5A8C"/>
    <w:rsid w:val="006E640E"/>
    <w:rsid w:val="006F760B"/>
    <w:rsid w:val="0071071F"/>
    <w:rsid w:val="007159AB"/>
    <w:rsid w:val="0071767F"/>
    <w:rsid w:val="00723EAE"/>
    <w:rsid w:val="00732CFA"/>
    <w:rsid w:val="00752675"/>
    <w:rsid w:val="00767039"/>
    <w:rsid w:val="00771465"/>
    <w:rsid w:val="007B04BC"/>
    <w:rsid w:val="007B056D"/>
    <w:rsid w:val="007B2687"/>
    <w:rsid w:val="007C150D"/>
    <w:rsid w:val="00807249"/>
    <w:rsid w:val="008123C0"/>
    <w:rsid w:val="00825041"/>
    <w:rsid w:val="008714D7"/>
    <w:rsid w:val="00874DA6"/>
    <w:rsid w:val="00874F11"/>
    <w:rsid w:val="00881216"/>
    <w:rsid w:val="008900D4"/>
    <w:rsid w:val="008A44E3"/>
    <w:rsid w:val="008A490F"/>
    <w:rsid w:val="008B34A3"/>
    <w:rsid w:val="008B611D"/>
    <w:rsid w:val="008C46A5"/>
    <w:rsid w:val="008C4BBF"/>
    <w:rsid w:val="008D492D"/>
    <w:rsid w:val="008F2101"/>
    <w:rsid w:val="008F27D6"/>
    <w:rsid w:val="008F7FEB"/>
    <w:rsid w:val="009008BA"/>
    <w:rsid w:val="009068A0"/>
    <w:rsid w:val="00906DEA"/>
    <w:rsid w:val="009579B8"/>
    <w:rsid w:val="00975474"/>
    <w:rsid w:val="00986DB5"/>
    <w:rsid w:val="00995731"/>
    <w:rsid w:val="00995754"/>
    <w:rsid w:val="009A6887"/>
    <w:rsid w:val="009A7A23"/>
    <w:rsid w:val="009B33BF"/>
    <w:rsid w:val="009D061E"/>
    <w:rsid w:val="009D0CF7"/>
    <w:rsid w:val="009D7EA0"/>
    <w:rsid w:val="009E4305"/>
    <w:rsid w:val="009E59CC"/>
    <w:rsid w:val="00A00BD9"/>
    <w:rsid w:val="00A16E6F"/>
    <w:rsid w:val="00A17FE2"/>
    <w:rsid w:val="00A20C37"/>
    <w:rsid w:val="00A221C7"/>
    <w:rsid w:val="00A23A6F"/>
    <w:rsid w:val="00A32150"/>
    <w:rsid w:val="00A4643E"/>
    <w:rsid w:val="00A47300"/>
    <w:rsid w:val="00A50C1C"/>
    <w:rsid w:val="00A6164F"/>
    <w:rsid w:val="00A644F4"/>
    <w:rsid w:val="00A71A2D"/>
    <w:rsid w:val="00A952BD"/>
    <w:rsid w:val="00AA1392"/>
    <w:rsid w:val="00AC5612"/>
    <w:rsid w:val="00AE79FD"/>
    <w:rsid w:val="00B02075"/>
    <w:rsid w:val="00B05724"/>
    <w:rsid w:val="00B20A6D"/>
    <w:rsid w:val="00B25EE0"/>
    <w:rsid w:val="00B30352"/>
    <w:rsid w:val="00B355E6"/>
    <w:rsid w:val="00B50825"/>
    <w:rsid w:val="00B71FAB"/>
    <w:rsid w:val="00B757E4"/>
    <w:rsid w:val="00B856B2"/>
    <w:rsid w:val="00BB1476"/>
    <w:rsid w:val="00BD2569"/>
    <w:rsid w:val="00BD3C20"/>
    <w:rsid w:val="00BF4582"/>
    <w:rsid w:val="00BF5427"/>
    <w:rsid w:val="00BF5476"/>
    <w:rsid w:val="00C01863"/>
    <w:rsid w:val="00C04147"/>
    <w:rsid w:val="00C14EB5"/>
    <w:rsid w:val="00C20FE0"/>
    <w:rsid w:val="00C32AE2"/>
    <w:rsid w:val="00C41505"/>
    <w:rsid w:val="00C45B6C"/>
    <w:rsid w:val="00C644D0"/>
    <w:rsid w:val="00C65954"/>
    <w:rsid w:val="00C71E4C"/>
    <w:rsid w:val="00C726DA"/>
    <w:rsid w:val="00C7415A"/>
    <w:rsid w:val="00C83534"/>
    <w:rsid w:val="00C94289"/>
    <w:rsid w:val="00CA49D4"/>
    <w:rsid w:val="00CB6FE7"/>
    <w:rsid w:val="00CC0A5B"/>
    <w:rsid w:val="00CC79EA"/>
    <w:rsid w:val="00CD6867"/>
    <w:rsid w:val="00CE3D82"/>
    <w:rsid w:val="00CF7E44"/>
    <w:rsid w:val="00D00850"/>
    <w:rsid w:val="00D26EB9"/>
    <w:rsid w:val="00D32A36"/>
    <w:rsid w:val="00D45117"/>
    <w:rsid w:val="00D46809"/>
    <w:rsid w:val="00D60167"/>
    <w:rsid w:val="00D608F8"/>
    <w:rsid w:val="00D63017"/>
    <w:rsid w:val="00D63F77"/>
    <w:rsid w:val="00D809B0"/>
    <w:rsid w:val="00D8688B"/>
    <w:rsid w:val="00D94D70"/>
    <w:rsid w:val="00DB0F48"/>
    <w:rsid w:val="00DB13F4"/>
    <w:rsid w:val="00DB360C"/>
    <w:rsid w:val="00DB65F6"/>
    <w:rsid w:val="00DD1B84"/>
    <w:rsid w:val="00DD5B53"/>
    <w:rsid w:val="00DE4A9C"/>
    <w:rsid w:val="00DE615F"/>
    <w:rsid w:val="00E05A1B"/>
    <w:rsid w:val="00E063D7"/>
    <w:rsid w:val="00E11FC0"/>
    <w:rsid w:val="00E269BE"/>
    <w:rsid w:val="00E318B0"/>
    <w:rsid w:val="00E46CFE"/>
    <w:rsid w:val="00E548B7"/>
    <w:rsid w:val="00E6538B"/>
    <w:rsid w:val="00E724E6"/>
    <w:rsid w:val="00E77B77"/>
    <w:rsid w:val="00E82527"/>
    <w:rsid w:val="00E908DA"/>
    <w:rsid w:val="00E94AA0"/>
    <w:rsid w:val="00EA157F"/>
    <w:rsid w:val="00EC5050"/>
    <w:rsid w:val="00ED2FC7"/>
    <w:rsid w:val="00ED512E"/>
    <w:rsid w:val="00EE4F8E"/>
    <w:rsid w:val="00EF6B77"/>
    <w:rsid w:val="00F016AA"/>
    <w:rsid w:val="00F118D5"/>
    <w:rsid w:val="00F17B3D"/>
    <w:rsid w:val="00F4085D"/>
    <w:rsid w:val="00F4517A"/>
    <w:rsid w:val="00F61583"/>
    <w:rsid w:val="00F6716F"/>
    <w:rsid w:val="00F77D44"/>
    <w:rsid w:val="00F870D8"/>
    <w:rsid w:val="00F97CB6"/>
    <w:rsid w:val="00FB0318"/>
    <w:rsid w:val="00FB137F"/>
    <w:rsid w:val="00FC1BD6"/>
    <w:rsid w:val="00FE3C06"/>
    <w:rsid w:val="00FE7891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3E0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19E1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3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19E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3419E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41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19E1"/>
    <w:pPr>
      <w:spacing w:line="240" w:lineRule="auto"/>
    </w:pPr>
    <w:rPr>
      <w:rFonts w:eastAsiaTheme="minorEastAsia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19E1"/>
    <w:rPr>
      <w:rFonts w:eastAsiaTheme="minorEastAsia"/>
      <w:sz w:val="20"/>
      <w:szCs w:val="20"/>
      <w:lang w:eastAsia="es-CO"/>
    </w:rPr>
  </w:style>
  <w:style w:type="paragraph" w:customStyle="1" w:styleId="Cuerpo">
    <w:name w:val="Cuerpo"/>
    <w:rsid w:val="00341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9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473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A4730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35B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269BE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38F1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38F1"/>
    <w:rPr>
      <w:rFonts w:eastAsiaTheme="minorEastAsia"/>
      <w:b/>
      <w:bCs/>
      <w:sz w:val="20"/>
      <w:szCs w:val="20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19E1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3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19E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3419E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41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19E1"/>
    <w:pPr>
      <w:spacing w:line="240" w:lineRule="auto"/>
    </w:pPr>
    <w:rPr>
      <w:rFonts w:eastAsiaTheme="minorEastAsia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19E1"/>
    <w:rPr>
      <w:rFonts w:eastAsiaTheme="minorEastAsia"/>
      <w:sz w:val="20"/>
      <w:szCs w:val="20"/>
      <w:lang w:eastAsia="es-CO"/>
    </w:rPr>
  </w:style>
  <w:style w:type="paragraph" w:customStyle="1" w:styleId="Cuerpo">
    <w:name w:val="Cuerpo"/>
    <w:rsid w:val="00341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9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473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A4730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35B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269BE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38F1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38F1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A194-F2C3-4D5D-A41A-4C031B3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Fernanda Baldrich Oviedo</dc:creator>
  <cp:lastModifiedBy>Katherine Viviana Munar Moreno</cp:lastModifiedBy>
  <cp:revision>2</cp:revision>
  <cp:lastPrinted>2016-06-01T00:01:00Z</cp:lastPrinted>
  <dcterms:created xsi:type="dcterms:W3CDTF">2017-07-05T13:14:00Z</dcterms:created>
  <dcterms:modified xsi:type="dcterms:W3CDTF">2017-07-05T13:14:00Z</dcterms:modified>
</cp:coreProperties>
</file>