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B7BB" w14:textId="77777777" w:rsidR="00BF4582" w:rsidRPr="00C7415A" w:rsidRDefault="009D7EA0" w:rsidP="00E269BE">
      <w:pPr>
        <w:pStyle w:val="Sinespaciad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Anexo 1</w:t>
      </w:r>
    </w:p>
    <w:p w14:paraId="09305B13" w14:textId="77777777" w:rsidR="00E269BE" w:rsidRPr="00C7415A" w:rsidRDefault="00E269BE" w:rsidP="00E269BE">
      <w:pPr>
        <w:pStyle w:val="Sinespaciado"/>
        <w:jc w:val="center"/>
        <w:rPr>
          <w:b/>
          <w:sz w:val="20"/>
          <w:szCs w:val="20"/>
        </w:rPr>
      </w:pPr>
    </w:p>
    <w:p w14:paraId="1F22AF16" w14:textId="77777777" w:rsidR="00E269BE" w:rsidRPr="00F97CB6" w:rsidRDefault="00A644F4" w:rsidP="00E269BE">
      <w:pPr>
        <w:pStyle w:val="Sinespaciado"/>
        <w:jc w:val="center"/>
        <w:rPr>
          <w:b/>
          <w:sz w:val="24"/>
          <w:szCs w:val="24"/>
        </w:rPr>
      </w:pPr>
      <w:r w:rsidRPr="00F97CB6">
        <w:rPr>
          <w:b/>
          <w:sz w:val="24"/>
          <w:szCs w:val="24"/>
        </w:rPr>
        <w:t>DESCRIPCIÓN DEL PROGRAMA</w:t>
      </w:r>
      <w:r w:rsidR="00F97CB6" w:rsidRPr="00F97CB6">
        <w:rPr>
          <w:b/>
          <w:sz w:val="24"/>
          <w:szCs w:val="24"/>
        </w:rPr>
        <w:t xml:space="preserve"> DE ACOMPAÑAMIENTO</w:t>
      </w:r>
    </w:p>
    <w:p w14:paraId="10A3A7E7" w14:textId="77777777" w:rsidR="0019245F" w:rsidRPr="00F97CB6" w:rsidRDefault="00A644F4" w:rsidP="00E269BE">
      <w:pPr>
        <w:pStyle w:val="Sinespaciado"/>
        <w:jc w:val="center"/>
        <w:rPr>
          <w:b/>
          <w:sz w:val="24"/>
          <w:szCs w:val="24"/>
        </w:rPr>
      </w:pPr>
      <w:r w:rsidRPr="00F97CB6">
        <w:rPr>
          <w:b/>
          <w:sz w:val="24"/>
          <w:szCs w:val="24"/>
        </w:rPr>
        <w:t>BANCÓLDEX EFICIENCIA ENERGÉTICA PARA HOTELES, CLÍNICAS Y HOSPITALES</w:t>
      </w:r>
    </w:p>
    <w:p w14:paraId="716CF247" w14:textId="77777777" w:rsidR="00E269BE" w:rsidRPr="00F97CB6" w:rsidRDefault="00E269BE" w:rsidP="00E269BE">
      <w:pPr>
        <w:pStyle w:val="Sinespaciado"/>
        <w:rPr>
          <w:sz w:val="24"/>
          <w:szCs w:val="24"/>
        </w:rPr>
      </w:pPr>
    </w:p>
    <w:p w14:paraId="7B9771D2" w14:textId="77777777" w:rsidR="00F97CB6" w:rsidRDefault="00F97CB6" w:rsidP="00F97CB6">
      <w:pPr>
        <w:pStyle w:val="Cuerpo"/>
        <w:spacing w:after="0" w:line="240" w:lineRule="auto"/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</w:pPr>
      <w:r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 xml:space="preserve">PROCEDIMIENTO PARA ACCEDER A LOS BENEFICIOS DE LA </w:t>
      </w:r>
      <w:r w:rsidRPr="00F97CB6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LÍNEA BANCÓLDEX EFICIENCIA ENERGÉTICA PARA HOTELES, CLÍNICAS Y HOSPITALES</w:t>
      </w:r>
    </w:p>
    <w:p w14:paraId="7BF67202" w14:textId="77777777" w:rsidR="005F31ED" w:rsidRDefault="005F31ED" w:rsidP="00F97CB6">
      <w:pPr>
        <w:pStyle w:val="Cuerpo"/>
        <w:spacing w:after="0" w:line="240" w:lineRule="auto"/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</w:pPr>
    </w:p>
    <w:p w14:paraId="3880A625" w14:textId="5A8EF965" w:rsidR="005F31ED" w:rsidRDefault="00B758C7" w:rsidP="005F31ED">
      <w:pPr>
        <w:pStyle w:val="Cuerpo"/>
        <w:numPr>
          <w:ilvl w:val="0"/>
          <w:numId w:val="11"/>
        </w:numPr>
        <w:spacing w:after="0" w:line="240" w:lineRule="auto"/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</w:pPr>
      <w:r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Registro del proyecto</w:t>
      </w:r>
    </w:p>
    <w:p w14:paraId="3A72B72D" w14:textId="77777777" w:rsidR="00F97CB6" w:rsidRPr="00F97CB6" w:rsidRDefault="00F97CB6" w:rsidP="00F97CB6">
      <w:pPr>
        <w:pStyle w:val="Cuerpo"/>
        <w:spacing w:after="0" w:line="240" w:lineRule="auto"/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</w:pPr>
    </w:p>
    <w:p w14:paraId="0392FA00" w14:textId="77777777" w:rsidR="00630F71" w:rsidRDefault="00F97CB6" w:rsidP="00AB16A2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Para iniciar el proceso con Bancóldex tanto el hotel, clínica u hospital (</w:t>
      </w:r>
      <w:r w:rsidRPr="00A56F6B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en adelante</w:t>
      </w:r>
      <w:r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 xml:space="preserve"> “</w:t>
      </w:r>
      <w:r w:rsidR="008C4BBF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empresario</w:t>
      </w:r>
      <w:r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”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) como la empresa o consultor de servicios energéticos y/o proveedor de tecnología (en adelante “</w:t>
      </w:r>
      <w:r w:rsidRPr="00330C2E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ESE-PT</w:t>
      </w:r>
      <w:r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”</w:t>
      </w:r>
      <w:r w:rsidR="00630F71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) deben enviar al Departamento de Negocios Especiales de Bancóldex </w:t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la </w:t>
      </w:r>
      <w:r w:rsidRPr="00625EC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carta de manifestación de interés de uso del </w:t>
      </w:r>
      <w:r w:rsidR="00B758C7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S</w:t>
      </w:r>
      <w:r w:rsidRPr="00625EC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istema </w:t>
      </w:r>
      <w:bookmarkStart w:id="1" w:name="_Hlk516211251"/>
      <w:r w:rsidRPr="00625EC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de </w:t>
      </w:r>
      <w:r w:rsidR="00B758C7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I</w:t>
      </w:r>
      <w:r w:rsidRPr="00625EC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nformación</w:t>
      </w:r>
      <w:bookmarkEnd w:id="1"/>
      <w:r w:rsidRPr="00625EC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de </w:t>
      </w:r>
      <w:r w:rsidR="00C42AF7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E</w:t>
      </w:r>
      <w:r w:rsidRPr="00625EC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ficiencia </w:t>
      </w:r>
      <w:r w:rsidR="00C42AF7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E</w:t>
      </w:r>
      <w:r w:rsidRPr="00625EC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nergética</w:t>
      </w:r>
      <w:r w:rsidR="00C42AF7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de Bancoldex (en adelante Sistema de Información)</w:t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,</w:t>
      </w:r>
      <w:r w:rsidRPr="00625EC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firmada 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por el representante legal junto con la documentación relacionada en el modelo de carta</w:t>
      </w:r>
      <w:r>
        <w:rPr>
          <w:rStyle w:val="Refdenotaalpie"/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footnoteReference w:id="1"/>
      </w:r>
      <w:r w:rsidR="009E4305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anexo 3 a esta descripción.</w:t>
      </w:r>
      <w:r w:rsidR="00C42AF7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 </w:t>
      </w:r>
    </w:p>
    <w:p w14:paraId="2A18160B" w14:textId="77777777" w:rsidR="00630F71" w:rsidRDefault="00630F71" w:rsidP="00630F71">
      <w:pPr>
        <w:pStyle w:val="Cuerpo"/>
        <w:spacing w:after="0" w:line="240" w:lineRule="auto"/>
        <w:ind w:left="720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05332ED5" w14:textId="2A0E3589" w:rsidR="00AB16A2" w:rsidRPr="00AB16A2" w:rsidRDefault="00C42AF7" w:rsidP="00AB16A2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 w:rsidRPr="00C42AF7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Det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a</w:t>
      </w:r>
      <w:r w:rsidRPr="00C42AF7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lles d</w:t>
      </w:r>
      <w:r w:rsidRPr="00AB16A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el 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Sistema de Información </w:t>
      </w:r>
      <w:r w:rsidR="00630F71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se pueden obtener en Bancóldex (1) 4863000 extensiones 2481 y 2484</w:t>
      </w:r>
    </w:p>
    <w:p w14:paraId="7944FAB7" w14:textId="77777777" w:rsidR="00F97CB6" w:rsidRPr="00926BCA" w:rsidRDefault="00F97CB6" w:rsidP="00F97CB6">
      <w:pPr>
        <w:pStyle w:val="Cuerpo"/>
        <w:spacing w:after="0" w:line="240" w:lineRule="auto"/>
        <w:ind w:left="720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6653468C" w14:textId="57361CC1" w:rsidR="00F97CB6" w:rsidRPr="004F0189" w:rsidRDefault="00F97CB6" w:rsidP="00F97CB6">
      <w:pPr>
        <w:pStyle w:val="Cuerpo"/>
        <w:numPr>
          <w:ilvl w:val="0"/>
          <w:numId w:val="10"/>
        </w:numPr>
        <w:spacing w:after="0" w:line="240" w:lineRule="auto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Una vez recibidas ambas cartas de expresión de interés, </w:t>
      </w:r>
      <w:r w:rsidRPr="00585ABF">
        <w:rPr>
          <w:color w:val="404040" w:themeColor="text1" w:themeTint="BF"/>
        </w:rPr>
        <w:t xml:space="preserve">Bancóldex </w:t>
      </w:r>
      <w:r>
        <w:rPr>
          <w:color w:val="404040" w:themeColor="text1" w:themeTint="BF"/>
        </w:rPr>
        <w:t xml:space="preserve">expide a cada uno </w:t>
      </w:r>
      <w:r w:rsidRPr="00585ABF">
        <w:rPr>
          <w:color w:val="404040" w:themeColor="text1" w:themeTint="BF"/>
        </w:rPr>
        <w:t>una comunicación</w:t>
      </w:r>
      <w:r>
        <w:rPr>
          <w:color w:val="404040" w:themeColor="text1" w:themeTint="BF"/>
        </w:rPr>
        <w:t xml:space="preserve"> que explica el proceso de asignación de usuario y contraseña </w:t>
      </w:r>
      <w:r w:rsidRPr="00585ABF">
        <w:rPr>
          <w:color w:val="404040" w:themeColor="text1" w:themeTint="BF"/>
        </w:rPr>
        <w:t>para hacer</w:t>
      </w:r>
      <w:r>
        <w:rPr>
          <w:color w:val="404040" w:themeColor="text1" w:themeTint="BF"/>
        </w:rPr>
        <w:t xml:space="preserve"> uso del Sistema </w:t>
      </w:r>
      <w:bookmarkStart w:id="2" w:name="_Hlk516211572"/>
      <w:r w:rsidR="00C42AF7" w:rsidRPr="00625EC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de </w:t>
      </w:r>
      <w:r w:rsidR="00C42AF7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I</w:t>
      </w:r>
      <w:r w:rsidR="00C42AF7" w:rsidRPr="00625EC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nformación</w:t>
      </w:r>
      <w:bookmarkEnd w:id="2"/>
    </w:p>
    <w:p w14:paraId="23C663AB" w14:textId="77777777" w:rsidR="00F97CB6" w:rsidRPr="00BA29A8" w:rsidRDefault="00F97CB6" w:rsidP="00F97CB6">
      <w:pPr>
        <w:pStyle w:val="Cuerpo"/>
        <w:spacing w:after="0" w:line="240" w:lineRule="auto"/>
        <w:ind w:left="720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 w:rsidRPr="00BA29A8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</w:p>
    <w:p w14:paraId="6D16502F" w14:textId="4745CE80" w:rsidR="00F97CB6" w:rsidRPr="008B0A39" w:rsidRDefault="008C4BBF" w:rsidP="0254F3AB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</w:rPr>
      </w:pPr>
      <w:r w:rsidRPr="008B0A39">
        <w:rPr>
          <w:color w:val="404040" w:themeColor="text1" w:themeTint="BF"/>
        </w:rPr>
        <w:t>Asignado</w:t>
      </w:r>
      <w:r w:rsidR="00F97CB6" w:rsidRPr="008B0A39">
        <w:rPr>
          <w:color w:val="404040" w:themeColor="text1" w:themeTint="BF"/>
        </w:rPr>
        <w:t xml:space="preserve">s los usuarios y claves respectivas, </w:t>
      </w:r>
      <w:r w:rsidR="00F97CB6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la </w:t>
      </w:r>
      <w:r w:rsidR="00F97CB6" w:rsidRPr="008B0A39">
        <w:rPr>
          <w:rFonts w:asciiTheme="minorHAnsi" w:eastAsiaTheme="minorEastAsia" w:hAnsiTheme="minorHAnsi" w:cstheme="minorBidi"/>
          <w:b/>
          <w:bCs/>
          <w:color w:val="404040" w:themeColor="text1" w:themeTint="BF"/>
          <w:bdr w:val="none" w:sz="0" w:space="0" w:color="auto"/>
        </w:rPr>
        <w:t>ESE-PT</w:t>
      </w:r>
      <w:r w:rsidR="00F97CB6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debe formular el proyecto de ahorro energético en el Sistema </w:t>
      </w:r>
      <w:r w:rsidR="00C42AF7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de Información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,</w:t>
      </w:r>
      <w:r w:rsidR="00F97CB6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diligenciando la información correspondiente al Módulo 1, Módulo 2 </w:t>
      </w:r>
      <w:r w:rsidR="002D2A1B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r w:rsidR="0254F3AB" w:rsidRPr="008B0A39">
        <w:rPr>
          <w:color w:val="404040" w:themeColor="text1" w:themeTint="BF"/>
        </w:rPr>
        <w:t xml:space="preserve">correspondiente a la(s) tecnología(s) que corresponda(n) y el Módulo 2, propuesta técnica económica. </w:t>
      </w:r>
    </w:p>
    <w:p w14:paraId="17501250" w14:textId="77777777" w:rsidR="00F97CB6" w:rsidRPr="008B0A39" w:rsidRDefault="00F97CB6" w:rsidP="00F97CB6">
      <w:pPr>
        <w:pStyle w:val="Cuerpo"/>
        <w:spacing w:after="0" w:line="240" w:lineRule="auto"/>
        <w:ind w:left="720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75DB3A4F" w14:textId="11FCE1FD" w:rsidR="00F97CB6" w:rsidRPr="008B0A39" w:rsidRDefault="00F97CB6" w:rsidP="0254F3AB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</w:rPr>
      </w:pP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Una vez finalizado el proceso de formulación del proyecto por parte de la </w:t>
      </w:r>
      <w:r w:rsidRPr="008B0A39">
        <w:rPr>
          <w:rFonts w:asciiTheme="minorHAnsi" w:eastAsiaTheme="minorEastAsia" w:hAnsiTheme="minorHAnsi" w:cstheme="minorBidi"/>
          <w:b/>
          <w:bCs/>
          <w:color w:val="404040" w:themeColor="text1" w:themeTint="BF"/>
          <w:bdr w:val="none" w:sz="0" w:space="0" w:color="auto"/>
        </w:rPr>
        <w:t>ESE-PT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, el sistema le envía un correo a su cliente </w:t>
      </w:r>
      <w:r w:rsidRPr="008B0A39">
        <w:rPr>
          <w:rFonts w:asciiTheme="minorHAnsi" w:eastAsiaTheme="minorEastAsia" w:hAnsiTheme="minorHAnsi" w:cstheme="minorBidi"/>
          <w:b/>
          <w:bCs/>
          <w:color w:val="404040" w:themeColor="text1" w:themeTint="BF"/>
          <w:bdr w:val="none" w:sz="0" w:space="0" w:color="auto"/>
        </w:rPr>
        <w:t xml:space="preserve">Empresario 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informándole que continúe con</w:t>
      </w:r>
      <w:r w:rsidR="005F31ED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el proceso</w:t>
      </w:r>
    </w:p>
    <w:p w14:paraId="7658F231" w14:textId="77777777" w:rsidR="00F97CB6" w:rsidRPr="008B0A39" w:rsidRDefault="00F97CB6" w:rsidP="00F97CB6">
      <w:pPr>
        <w:pStyle w:val="Cuerpo"/>
        <w:spacing w:after="0" w:line="240" w:lineRule="auto"/>
        <w:ind w:left="720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4D5027A1" w14:textId="444E311F" w:rsidR="00F97CB6" w:rsidRPr="008B0A39" w:rsidRDefault="00F97CB6" w:rsidP="005F31ED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El </w:t>
      </w:r>
      <w:r w:rsidR="009E4305" w:rsidRPr="008B0A39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empresario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debe ingresar </w:t>
      </w:r>
      <w:bookmarkStart w:id="3" w:name="_Hlk516211306"/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al Sistema </w:t>
      </w:r>
      <w:r w:rsidR="00C42AF7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de Información</w:t>
      </w:r>
      <w:r w:rsidR="00C42AF7" w:rsidRPr="008B0A39" w:rsidDel="00C42AF7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bookmarkEnd w:id="3"/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con su usuario para revisar y aprobar el proyecto. Una vez aprobado recibirá por correo un archivo PDF que contiene el resumen de</w:t>
      </w:r>
      <w:r w:rsidR="00506630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l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proyecto el cual debe firmar y remitir al intermediario financiero para iniciar el trámite de la solicitud de crédito ante Bancóldex </w:t>
      </w:r>
    </w:p>
    <w:p w14:paraId="170D1FA3" w14:textId="77777777" w:rsidR="00F97CB6" w:rsidRPr="008B0A39" w:rsidRDefault="00F97CB6" w:rsidP="00F97CB6">
      <w:pPr>
        <w:pStyle w:val="Cuerpo"/>
        <w:spacing w:after="0" w:line="240" w:lineRule="auto"/>
        <w:ind w:left="720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6D836304" w14:textId="72062E93" w:rsidR="00F97CB6" w:rsidRPr="008B0A39" w:rsidRDefault="00F97CB6" w:rsidP="0254F3AB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</w:rPr>
      </w:pP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Una vez el intermediario financiero registre la solicitud de crédito en </w:t>
      </w:r>
      <w:r w:rsidR="00C42AF7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al Sistema de Información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, el sistema le solicitará adjuntar el documento físico entregado por el cliente </w:t>
      </w:r>
      <w:r w:rsidRPr="008B0A39">
        <w:rPr>
          <w:rFonts w:asciiTheme="minorHAnsi" w:eastAsiaTheme="minorEastAsia" w:hAnsiTheme="minorHAnsi" w:cstheme="minorBidi"/>
          <w:b/>
          <w:bCs/>
          <w:color w:val="404040" w:themeColor="text1" w:themeTint="BF"/>
          <w:bdr w:val="none" w:sz="0" w:space="0" w:color="auto"/>
        </w:rPr>
        <w:t>Empresario</w:t>
      </w:r>
    </w:p>
    <w:p w14:paraId="7CE6C7ED" w14:textId="77777777" w:rsidR="00B758C7" w:rsidRPr="008B0A39" w:rsidRDefault="00B758C7" w:rsidP="00AB16A2">
      <w:pPr>
        <w:pStyle w:val="Prrafodelista"/>
        <w:rPr>
          <w:rFonts w:asciiTheme="minorHAnsi" w:eastAsiaTheme="minorEastAsia" w:hAnsiTheme="minorHAnsi" w:cstheme="minorBidi"/>
          <w:color w:val="404040" w:themeColor="text1" w:themeTint="BF"/>
        </w:rPr>
      </w:pPr>
    </w:p>
    <w:p w14:paraId="3C90DC30" w14:textId="77777777" w:rsidR="00B758C7" w:rsidRPr="008B0A39" w:rsidRDefault="00B758C7" w:rsidP="00AB16A2">
      <w:pPr>
        <w:pStyle w:val="Cuerpo"/>
        <w:numPr>
          <w:ilvl w:val="0"/>
          <w:numId w:val="11"/>
        </w:numPr>
        <w:spacing w:after="0" w:line="240" w:lineRule="auto"/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</w:pPr>
      <w:r w:rsidRPr="008B0A39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Validación de ICONTEC</w:t>
      </w:r>
    </w:p>
    <w:p w14:paraId="647A7022" w14:textId="77777777" w:rsidR="00F97CB6" w:rsidRPr="008B0A39" w:rsidRDefault="00F97CB6" w:rsidP="00F97CB6">
      <w:pPr>
        <w:pStyle w:val="Cuerpo"/>
        <w:spacing w:after="0" w:line="240" w:lineRule="auto"/>
        <w:ind w:left="720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482CC6E8" w14:textId="10336FE6" w:rsidR="00F97CB6" w:rsidRPr="008B0A39" w:rsidRDefault="005F31ED" w:rsidP="0254F3AB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</w:rPr>
      </w:pP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Cumplido este paso Ba</w:t>
      </w:r>
      <w:r w:rsidR="00F97CB6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ncóldex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solicitará al</w:t>
      </w:r>
      <w:r w:rsidR="00F97CB6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r w:rsidR="00F97CB6" w:rsidRPr="008B0A39">
        <w:rPr>
          <w:rFonts w:asciiTheme="minorHAnsi" w:eastAsiaTheme="minorEastAsia" w:hAnsiTheme="minorHAnsi" w:cstheme="minorBidi"/>
          <w:b/>
          <w:bCs/>
          <w:color w:val="404040" w:themeColor="text1" w:themeTint="BF"/>
          <w:bdr w:val="none" w:sz="0" w:space="0" w:color="auto"/>
        </w:rPr>
        <w:t>ICONTEC</w:t>
      </w:r>
      <w:r w:rsidR="00F97CB6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realizar</w:t>
      </w:r>
      <w:r w:rsidR="00F97CB6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la validación del </w:t>
      </w:r>
      <w:r w:rsidR="0254F3AB" w:rsidRPr="008B0A39">
        <w:rPr>
          <w:color w:val="404040" w:themeColor="text1" w:themeTint="BF"/>
        </w:rPr>
        <w:t>proponte técnico y del proyecto en un plazo máximo de 8 días hábiles</w:t>
      </w:r>
      <w:r w:rsidR="00F97CB6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 calendario y una vez surtida </w:t>
      </w:r>
      <w:r w:rsidR="00F97CB6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lastRenderedPageBreak/>
        <w:t xml:space="preserve">esta actividad, Bancóldex comunicará al respectivo intermediario financiero que puede continuar con el proceso de 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desembolso</w:t>
      </w:r>
    </w:p>
    <w:p w14:paraId="11761773" w14:textId="77777777" w:rsidR="002D2A1B" w:rsidRPr="008B0A39" w:rsidRDefault="002D2A1B" w:rsidP="002D2A1B">
      <w:pPr>
        <w:pStyle w:val="Prrafodelista"/>
        <w:rPr>
          <w:rFonts w:asciiTheme="minorHAnsi" w:eastAsiaTheme="minorEastAsia" w:hAnsiTheme="minorHAnsi" w:cstheme="minorBidi"/>
          <w:color w:val="404040" w:themeColor="text1" w:themeTint="BF"/>
        </w:rPr>
      </w:pPr>
    </w:p>
    <w:p w14:paraId="45DA282D" w14:textId="5D47BB55" w:rsidR="002D2A1B" w:rsidRPr="008B0A39" w:rsidRDefault="002D2A1B" w:rsidP="0254F3AB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</w:rPr>
      </w:pP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Se debe presentar el Módulo 3 (que se encuentra con los demás anexos) que describe el proyecto implementado y la disposición de residuos si hubiera lugar a ello e</w:t>
      </w:r>
      <w:r w:rsidR="0254F3AB" w:rsidRPr="008B0A39">
        <w:rPr>
          <w:color w:val="404040" w:themeColor="text1" w:themeTint="BF"/>
        </w:rPr>
        <w:t xml:space="preserve">ste formato deberá ser enviado al momento de realizar la verificación por parte del Icontec, dentro de los  12 meses siguientes al desembolso. </w:t>
      </w:r>
    </w:p>
    <w:p w14:paraId="78D7841A" w14:textId="77777777" w:rsidR="005F31ED" w:rsidRPr="008B0A39" w:rsidRDefault="005F31ED" w:rsidP="005F31ED">
      <w:pPr>
        <w:pStyle w:val="Prrafodelista"/>
        <w:rPr>
          <w:rFonts w:asciiTheme="minorHAnsi" w:eastAsiaTheme="minorEastAsia" w:hAnsiTheme="minorHAnsi" w:cstheme="minorBidi"/>
          <w:color w:val="404040" w:themeColor="text1" w:themeTint="BF"/>
        </w:rPr>
      </w:pPr>
    </w:p>
    <w:p w14:paraId="7EF3C0C5" w14:textId="46D229B8" w:rsidR="005F31ED" w:rsidRPr="008B0A39" w:rsidRDefault="0254F3AB" w:rsidP="0254F3AB">
      <w:pPr>
        <w:pStyle w:val="Prrafodelista"/>
        <w:numPr>
          <w:ilvl w:val="0"/>
          <w:numId w:val="10"/>
        </w:numPr>
        <w:jc w:val="both"/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  <w:lang w:val="es-CO" w:eastAsia="es-CO"/>
        </w:rPr>
      </w:pPr>
      <w:r w:rsidRPr="008B0A39"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  <w:lang w:val="es-CO" w:eastAsia="es-CO"/>
        </w:rPr>
        <w:t xml:space="preserve">En caso de existir diferencias, durante la vida del proyecto, en las mediciones realizadas por el empresario y el ESE-PT, el ICONTEC será el encargado de verificar si los ahorros comprometidos fueron obtenidos. Si durante la vida del proyecto, se  presentan diferencias en la medición de los ahorros obtenidos, entre el </w:t>
      </w:r>
      <w:r w:rsidRPr="008B0A39">
        <w:rPr>
          <w:rFonts w:asciiTheme="minorHAnsi" w:eastAsiaTheme="minorEastAsia" w:hAnsiTheme="minorHAnsi" w:cstheme="minorBidi"/>
          <w:b/>
          <w:bCs/>
          <w:color w:val="404040" w:themeColor="text1" w:themeTint="BF"/>
          <w:sz w:val="22"/>
          <w:szCs w:val="22"/>
          <w:lang w:val="es-CO" w:eastAsia="es-CO"/>
        </w:rPr>
        <w:t>empresario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  <w:lang w:val="es-CO" w:eastAsia="es-CO"/>
        </w:rPr>
        <w:t xml:space="preserve"> y </w:t>
      </w:r>
      <w:r w:rsidRPr="008B0A39">
        <w:rPr>
          <w:rFonts w:asciiTheme="minorHAnsi" w:eastAsiaTheme="minorEastAsia" w:hAnsiTheme="minorHAnsi" w:cstheme="minorBidi"/>
          <w:b/>
          <w:bCs/>
          <w:color w:val="404040" w:themeColor="text1" w:themeTint="BF"/>
          <w:sz w:val="22"/>
          <w:szCs w:val="22"/>
          <w:lang w:val="es-CO" w:eastAsia="es-CO"/>
        </w:rPr>
        <w:t>ESE - PT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  <w:lang w:val="es-CO" w:eastAsia="es-CO"/>
        </w:rPr>
        <w:t xml:space="preserve">, ICONTEC valida si se obtuvieron los ahorros estimados en el proyecto. </w:t>
      </w:r>
    </w:p>
    <w:p w14:paraId="4E5374A0" w14:textId="77777777" w:rsidR="002D2A1B" w:rsidRPr="008B0A39" w:rsidRDefault="002D2A1B" w:rsidP="002D2A1B">
      <w:pPr>
        <w:pStyle w:val="Prrafodelista"/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  <w:u w:color="000000"/>
          <w:lang w:val="es-CO" w:eastAsia="es-CO"/>
        </w:rPr>
      </w:pPr>
    </w:p>
    <w:p w14:paraId="683731FC" w14:textId="43DE779C" w:rsidR="005F31ED" w:rsidRPr="008B0A39" w:rsidRDefault="005F31ED" w:rsidP="0254F3AB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</w:rPr>
      </w:pP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Semestralmente,</w:t>
      </w:r>
      <w:r w:rsidR="008B0A39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r w:rsidR="0254F3AB" w:rsidRPr="008B0A39">
        <w:rPr>
          <w:color w:val="404040" w:themeColor="text1" w:themeTint="BF"/>
        </w:rPr>
        <w:t>posterior a la verificación por parte del Icontec,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Bancóldex solicitará al beneficiario del crédito la presentación de los resultados del proyecto de ahorro energético a través del Sistema </w:t>
      </w:r>
      <w:r w:rsidR="00C42AF7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de Información</w:t>
      </w:r>
      <w:r w:rsidR="002D2A1B"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(Módulo 4)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, los cuales deben ser preparados por la </w:t>
      </w:r>
      <w:r w:rsidRPr="008B0A39">
        <w:rPr>
          <w:rFonts w:asciiTheme="minorHAnsi" w:eastAsiaTheme="minorEastAsia" w:hAnsiTheme="minorHAnsi" w:cstheme="minorBidi"/>
          <w:b/>
          <w:bCs/>
          <w:color w:val="404040" w:themeColor="text1" w:themeTint="BF"/>
          <w:bdr w:val="none" w:sz="0" w:space="0" w:color="auto"/>
        </w:rPr>
        <w:t>ESE-PT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y autorizados por el </w:t>
      </w:r>
      <w:r w:rsidR="008C4BBF" w:rsidRPr="008B0A39">
        <w:rPr>
          <w:rFonts w:asciiTheme="minorHAnsi" w:eastAsiaTheme="minorEastAsia" w:hAnsiTheme="minorHAnsi" w:cstheme="minorBidi"/>
          <w:b/>
          <w:bCs/>
          <w:color w:val="404040" w:themeColor="text1" w:themeTint="BF"/>
          <w:bdr w:val="none" w:sz="0" w:space="0" w:color="auto"/>
        </w:rPr>
        <w:t>empresario</w:t>
      </w:r>
      <w:r w:rsidRPr="008B0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.</w:t>
      </w:r>
    </w:p>
    <w:p w14:paraId="28858A75" w14:textId="77777777" w:rsidR="005F31ED" w:rsidRPr="005F31ED" w:rsidRDefault="005F31ED" w:rsidP="005F31ED">
      <w:pPr>
        <w:pStyle w:val="Cuerpo"/>
        <w:spacing w:after="0" w:line="240" w:lineRule="auto"/>
        <w:ind w:left="720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261D724A" w14:textId="0739AB11" w:rsidR="005F31ED" w:rsidRPr="001A7C96" w:rsidRDefault="005F31ED" w:rsidP="005F31ED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El costo de los roles que cumple ICONTEC en el programa, son asumidos por </w:t>
      </w:r>
      <w:r w:rsidR="008C4BBF"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Bancóldex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con cargo a los recursos no reembolsables también recibidos del Fo</w:t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ndo de Tecnologías Limpia – CTF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  <w:vertAlign w:val="superscript"/>
        </w:rPr>
        <w:footnoteReference w:id="2"/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.</w:t>
      </w:r>
    </w:p>
    <w:p w14:paraId="52B634CF" w14:textId="77777777" w:rsidR="00F97CB6" w:rsidRDefault="00F97CB6" w:rsidP="00F97CB6">
      <w:pPr>
        <w:pStyle w:val="Cuerpo"/>
        <w:spacing w:after="0" w:line="240" w:lineRule="auto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6488B37D" w14:textId="5A622847" w:rsidR="00AB16A2" w:rsidRDefault="00AC4D49" w:rsidP="004D6272">
      <w:pPr>
        <w:pStyle w:val="m-5175790508146181784cuerpo"/>
        <w:spacing w:after="0"/>
        <w:jc w:val="both"/>
        <w:rPr>
          <w:rFonts w:asciiTheme="minorHAnsi" w:eastAsiaTheme="minorEastAsia" w:hAnsiTheme="minorHAnsi" w:cstheme="minorBidi"/>
          <w:lang w:val="es-CO"/>
        </w:rPr>
      </w:pPr>
      <w:r w:rsidRPr="00AB16A2">
        <w:rPr>
          <w:rFonts w:asciiTheme="minorHAnsi" w:eastAsiaTheme="minorEastAsia" w:hAnsiTheme="minorHAnsi" w:cstheme="minorBidi"/>
          <w:lang w:val="es-CO"/>
        </w:rPr>
        <w:t xml:space="preserve">En caso de indisponibilidad del </w:t>
      </w:r>
      <w:r w:rsidR="00C42AF7" w:rsidRPr="00AB16A2">
        <w:rPr>
          <w:rFonts w:asciiTheme="minorHAnsi" w:eastAsiaTheme="minorEastAsia" w:hAnsiTheme="minorHAnsi" w:cstheme="minorBidi"/>
          <w:lang w:val="es-CO"/>
        </w:rPr>
        <w:t>S</w:t>
      </w:r>
      <w:r w:rsidRPr="00AB16A2">
        <w:rPr>
          <w:rFonts w:asciiTheme="minorHAnsi" w:eastAsiaTheme="minorEastAsia" w:hAnsiTheme="minorHAnsi" w:cstheme="minorBidi"/>
          <w:lang w:val="es-CO"/>
        </w:rPr>
        <w:t xml:space="preserve">istema de </w:t>
      </w:r>
      <w:r w:rsidR="00C42AF7" w:rsidRPr="00AB16A2">
        <w:rPr>
          <w:rFonts w:asciiTheme="minorHAnsi" w:eastAsiaTheme="minorEastAsia" w:hAnsiTheme="minorHAnsi" w:cstheme="minorBidi"/>
          <w:lang w:val="es-CO"/>
        </w:rPr>
        <w:t>I</w:t>
      </w:r>
      <w:r w:rsidRPr="00AB16A2">
        <w:rPr>
          <w:rFonts w:asciiTheme="minorHAnsi" w:eastAsiaTheme="minorEastAsia" w:hAnsiTheme="minorHAnsi" w:cstheme="minorBidi"/>
          <w:lang w:val="es-CO"/>
        </w:rPr>
        <w:t xml:space="preserve">nformación, se podrán diligenciar los formularios en formato Excel </w:t>
      </w:r>
      <w:r w:rsidR="004D6272">
        <w:rPr>
          <w:rFonts w:asciiTheme="minorHAnsi" w:eastAsiaTheme="minorEastAsia" w:hAnsiTheme="minorHAnsi" w:cstheme="minorBidi"/>
          <w:lang w:val="es-CO"/>
        </w:rPr>
        <w:t>solicitándolos a los correos</w:t>
      </w:r>
      <w:r w:rsidR="00926BCA" w:rsidRPr="00AB16A2">
        <w:rPr>
          <w:rFonts w:asciiTheme="minorHAnsi" w:eastAsiaTheme="minorEastAsia" w:hAnsiTheme="minorHAnsi" w:cstheme="minorBidi"/>
          <w:lang w:val="es-CO"/>
        </w:rPr>
        <w:t xml:space="preserve">: </w:t>
      </w:r>
    </w:p>
    <w:p w14:paraId="3F174640" w14:textId="562DE532" w:rsidR="004D6272" w:rsidRDefault="004D6272" w:rsidP="004D6272">
      <w:pPr>
        <w:pStyle w:val="m-5175790508146181784cuerpo"/>
        <w:spacing w:after="0"/>
        <w:jc w:val="both"/>
        <w:rPr>
          <w:rFonts w:asciiTheme="minorHAnsi" w:eastAsiaTheme="minorEastAsia" w:hAnsiTheme="minorHAnsi" w:cstheme="minorBidi"/>
          <w:lang w:val="es-CO"/>
        </w:rPr>
      </w:pPr>
      <w:r w:rsidRPr="004D6272">
        <w:rPr>
          <w:rFonts w:asciiTheme="minorHAnsi" w:eastAsiaTheme="minorEastAsia" w:hAnsiTheme="minorHAnsi" w:cstheme="minorBidi"/>
          <w:lang w:val="es-CO"/>
        </w:rPr>
        <w:t>f</w:t>
      </w:r>
      <w:hyperlink r:id="rId8" w:history="1">
        <w:r w:rsidRPr="004D6272">
          <w:rPr>
            <w:rStyle w:val="Hipervnculo"/>
            <w:rFonts w:asciiTheme="minorHAnsi" w:eastAsiaTheme="minorEastAsia" w:hAnsiTheme="minorHAnsi" w:cstheme="minorBidi"/>
            <w:lang w:val="es-CO"/>
          </w:rPr>
          <w:t>elipe.rojas@bancoldex.com</w:t>
        </w:r>
      </w:hyperlink>
      <w:r w:rsidRPr="004D6272">
        <w:rPr>
          <w:rFonts w:asciiTheme="minorHAnsi" w:eastAsiaTheme="minorEastAsia" w:hAnsiTheme="minorHAnsi" w:cstheme="minorBidi"/>
          <w:lang w:val="es-CO"/>
        </w:rPr>
        <w:t xml:space="preserve">, </w:t>
      </w:r>
      <w:hyperlink r:id="rId9" w:history="1">
        <w:r w:rsidRPr="004D6272">
          <w:rPr>
            <w:rStyle w:val="Hipervnculo"/>
            <w:rFonts w:asciiTheme="minorHAnsi" w:eastAsiaTheme="minorEastAsia" w:hAnsiTheme="minorHAnsi" w:cstheme="minorBidi"/>
            <w:lang w:val="es-CO"/>
          </w:rPr>
          <w:t>katherine.ovalle@bancoldex.com</w:t>
        </w:r>
      </w:hyperlink>
      <w:r w:rsidRPr="004D6272">
        <w:rPr>
          <w:rFonts w:asciiTheme="minorHAnsi" w:eastAsiaTheme="minorEastAsia" w:hAnsiTheme="minorHAnsi" w:cstheme="minorBidi"/>
          <w:lang w:val="es-CO"/>
        </w:rPr>
        <w:t xml:space="preserve">, </w:t>
      </w:r>
      <w:hyperlink r:id="rId10" w:history="1">
        <w:r w:rsidRPr="005B16F0">
          <w:rPr>
            <w:rStyle w:val="Hipervnculo"/>
            <w:rFonts w:asciiTheme="minorHAnsi" w:eastAsiaTheme="minorEastAsia" w:hAnsiTheme="minorHAnsi" w:cstheme="minorBidi"/>
            <w:lang w:val="es-CO"/>
          </w:rPr>
          <w:t>rocio.acuna@bancoldex.com</w:t>
        </w:r>
      </w:hyperlink>
    </w:p>
    <w:p w14:paraId="39BE9AC3" w14:textId="25B777C2" w:rsidR="004D6272" w:rsidRPr="004D6272" w:rsidRDefault="004D6272" w:rsidP="004D6272">
      <w:pPr>
        <w:pStyle w:val="m-5175790508146181784cuerpo"/>
        <w:spacing w:after="0"/>
        <w:jc w:val="both"/>
        <w:rPr>
          <w:rFonts w:asciiTheme="minorHAnsi" w:eastAsiaTheme="minorEastAsia" w:hAnsiTheme="minorHAnsi" w:cstheme="minorBidi"/>
          <w:lang w:val="es-CO"/>
        </w:rPr>
      </w:pPr>
      <w:r>
        <w:rPr>
          <w:rFonts w:asciiTheme="minorHAnsi" w:eastAsiaTheme="minorEastAsia" w:hAnsiTheme="minorHAnsi" w:cstheme="minorBidi"/>
          <w:lang w:val="es-CO"/>
        </w:rPr>
        <w:t>Los formularios diligenciados deberán remitirse de vuelta a estos correos para su validación.</w:t>
      </w:r>
    </w:p>
    <w:p w14:paraId="0E03FE1F" w14:textId="77777777" w:rsidR="004D6272" w:rsidRPr="004D6272" w:rsidRDefault="004D6272" w:rsidP="004D6272">
      <w:pPr>
        <w:pStyle w:val="m-5175790508146181784cuerpo"/>
        <w:spacing w:after="0"/>
        <w:jc w:val="both"/>
        <w:rPr>
          <w:rFonts w:asciiTheme="minorHAnsi" w:eastAsiaTheme="minorEastAsia" w:hAnsiTheme="minorHAnsi" w:cstheme="minorBidi"/>
          <w:lang w:val="es-CO"/>
        </w:rPr>
      </w:pPr>
    </w:p>
    <w:p w14:paraId="559E2225" w14:textId="6E2AE69E" w:rsidR="00F80903" w:rsidRPr="00AB16A2" w:rsidRDefault="00F80903" w:rsidP="00F80903">
      <w:pPr>
        <w:pStyle w:val="m-5175790508146181784cuerpo"/>
        <w:spacing w:after="0"/>
        <w:ind w:left="720"/>
        <w:jc w:val="both"/>
        <w:rPr>
          <w:rFonts w:asciiTheme="minorHAnsi" w:eastAsiaTheme="minorEastAsia" w:hAnsiTheme="minorHAnsi" w:cstheme="minorBidi"/>
          <w:lang w:val="es-CO"/>
        </w:rPr>
      </w:pPr>
    </w:p>
    <w:p w14:paraId="08F30345" w14:textId="77777777" w:rsidR="00C45B6C" w:rsidRPr="008C4BBF" w:rsidRDefault="00C45B6C" w:rsidP="00F80903">
      <w:pPr>
        <w:pStyle w:val="Cuerpo"/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6DD1297B" w14:textId="77777777" w:rsidR="00C7415A" w:rsidRPr="008C4BBF" w:rsidRDefault="00C7415A" w:rsidP="00C7415A">
      <w:pPr>
        <w:pStyle w:val="Prrafodelista"/>
        <w:ind w:left="0"/>
        <w:jc w:val="center"/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  <w:u w:color="000000"/>
          <w:lang w:val="es-CO" w:eastAsia="es-CO"/>
        </w:rPr>
      </w:pPr>
    </w:p>
    <w:p w14:paraId="0C315576" w14:textId="77777777" w:rsidR="00534CE4" w:rsidRDefault="00534CE4" w:rsidP="002433AC">
      <w:pPr>
        <w:pStyle w:val="Prrafodelista"/>
        <w:ind w:left="0"/>
        <w:rPr>
          <w:rFonts w:asciiTheme="minorHAnsi" w:hAnsiTheme="minorHAnsi"/>
          <w:b/>
          <w:szCs w:val="24"/>
        </w:rPr>
      </w:pPr>
    </w:p>
    <w:p w14:paraId="5BA85A6B" w14:textId="77777777" w:rsidR="00534CE4" w:rsidRDefault="00534CE4" w:rsidP="002433AC">
      <w:pPr>
        <w:pStyle w:val="Prrafodelista"/>
        <w:ind w:left="0"/>
        <w:rPr>
          <w:rFonts w:asciiTheme="minorHAnsi" w:hAnsiTheme="minorHAnsi"/>
          <w:b/>
          <w:szCs w:val="24"/>
        </w:rPr>
      </w:pPr>
    </w:p>
    <w:sectPr w:rsidR="00534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D432E" w14:textId="77777777" w:rsidR="00B01665" w:rsidRDefault="00B01665" w:rsidP="003419E1">
      <w:pPr>
        <w:spacing w:after="0" w:line="240" w:lineRule="auto"/>
      </w:pPr>
      <w:r>
        <w:separator/>
      </w:r>
    </w:p>
  </w:endnote>
  <w:endnote w:type="continuationSeparator" w:id="0">
    <w:p w14:paraId="4F6F529A" w14:textId="77777777" w:rsidR="00B01665" w:rsidRDefault="00B01665" w:rsidP="0034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79F7" w14:textId="77777777" w:rsidR="00B01665" w:rsidRDefault="00B01665" w:rsidP="003419E1">
      <w:pPr>
        <w:spacing w:after="0" w:line="240" w:lineRule="auto"/>
      </w:pPr>
      <w:r>
        <w:separator/>
      </w:r>
    </w:p>
  </w:footnote>
  <w:footnote w:type="continuationSeparator" w:id="0">
    <w:p w14:paraId="45E44013" w14:textId="77777777" w:rsidR="00B01665" w:rsidRDefault="00B01665" w:rsidP="003419E1">
      <w:pPr>
        <w:spacing w:after="0" w:line="240" w:lineRule="auto"/>
      </w:pPr>
      <w:r>
        <w:continuationSeparator/>
      </w:r>
    </w:p>
  </w:footnote>
  <w:footnote w:id="1">
    <w:p w14:paraId="3F88036B" w14:textId="6778C7F9" w:rsidR="00F97CB6" w:rsidRPr="00952FBF" w:rsidRDefault="00F97CB6" w:rsidP="00F97CB6">
      <w:pPr>
        <w:pStyle w:val="Textonotapie"/>
        <w:rPr>
          <w:rFonts w:asciiTheme="minorHAnsi" w:hAnsiTheme="minorHAnsi"/>
          <w:sz w:val="18"/>
          <w:szCs w:val="18"/>
        </w:rPr>
      </w:pPr>
      <w:r w:rsidRPr="00952FBF">
        <w:rPr>
          <w:rStyle w:val="Refdenotaalpie"/>
          <w:rFonts w:asciiTheme="minorHAnsi" w:hAnsiTheme="minorHAnsi"/>
          <w:sz w:val="18"/>
          <w:szCs w:val="18"/>
        </w:rPr>
        <w:footnoteRef/>
      </w:r>
      <w:r w:rsidRPr="00952FB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Consultar </w:t>
      </w:r>
      <w:r w:rsidRPr="00952FBF">
        <w:rPr>
          <w:rFonts w:asciiTheme="minorHAnsi" w:hAnsiTheme="minorHAnsi"/>
          <w:sz w:val="18"/>
          <w:szCs w:val="18"/>
        </w:rPr>
        <w:t xml:space="preserve">Anexo </w:t>
      </w:r>
      <w:r w:rsidR="004F0FB2">
        <w:rPr>
          <w:rFonts w:asciiTheme="minorHAnsi" w:hAnsiTheme="minorHAnsi"/>
          <w:sz w:val="18"/>
          <w:szCs w:val="18"/>
        </w:rPr>
        <w:t>3</w:t>
      </w:r>
      <w:r w:rsidRPr="00952FBF">
        <w:rPr>
          <w:rFonts w:asciiTheme="minorHAnsi" w:hAnsiTheme="minorHAnsi"/>
          <w:sz w:val="18"/>
          <w:szCs w:val="18"/>
        </w:rPr>
        <w:t xml:space="preserve">. Modelo de Carta de manifestación de interés de uso del </w:t>
      </w:r>
      <w:r>
        <w:rPr>
          <w:rFonts w:asciiTheme="minorHAnsi" w:hAnsiTheme="minorHAnsi"/>
          <w:sz w:val="18"/>
          <w:szCs w:val="18"/>
        </w:rPr>
        <w:t>S</w:t>
      </w:r>
      <w:r w:rsidRPr="00952FBF">
        <w:rPr>
          <w:rFonts w:asciiTheme="minorHAnsi" w:hAnsiTheme="minorHAnsi"/>
          <w:sz w:val="18"/>
          <w:szCs w:val="18"/>
        </w:rPr>
        <w:t xml:space="preserve">istema </w:t>
      </w:r>
      <w:r>
        <w:rPr>
          <w:rFonts w:asciiTheme="minorHAnsi" w:hAnsiTheme="minorHAnsi"/>
          <w:sz w:val="18"/>
          <w:szCs w:val="18"/>
        </w:rPr>
        <w:t>Banca Electrónica de Bancóldex</w:t>
      </w:r>
      <w:r w:rsidRPr="00952FBF">
        <w:rPr>
          <w:rFonts w:asciiTheme="minorHAnsi" w:hAnsiTheme="minorHAnsi"/>
          <w:sz w:val="18"/>
          <w:szCs w:val="18"/>
        </w:rPr>
        <w:t xml:space="preserve"> </w:t>
      </w:r>
    </w:p>
  </w:footnote>
  <w:footnote w:id="2">
    <w:p w14:paraId="5FF7FCA1" w14:textId="3B354F8D" w:rsidR="005F31ED" w:rsidRPr="00DD7603" w:rsidRDefault="005F31ED" w:rsidP="005F31ED">
      <w:pPr>
        <w:pStyle w:val="Textonotapie"/>
      </w:pPr>
      <w:r w:rsidRPr="00465B0A">
        <w:rPr>
          <w:rStyle w:val="Refdenotaalpie"/>
          <w:rFonts w:asciiTheme="minorHAnsi" w:hAnsiTheme="minorHAnsi"/>
          <w:sz w:val="18"/>
          <w:szCs w:val="18"/>
        </w:rPr>
        <w:footnoteRef/>
      </w:r>
      <w:r w:rsidRPr="00465B0A">
        <w:rPr>
          <w:rFonts w:asciiTheme="minorHAnsi" w:hAnsiTheme="minorHAnsi"/>
          <w:sz w:val="18"/>
          <w:szCs w:val="18"/>
        </w:rPr>
        <w:t xml:space="preserve"> </w:t>
      </w:r>
      <w:r w:rsidR="009E4305">
        <w:rPr>
          <w:rFonts w:asciiTheme="minorHAnsi" w:hAnsiTheme="minorHAnsi"/>
          <w:sz w:val="18"/>
          <w:szCs w:val="18"/>
        </w:rPr>
        <w:t>El programa de acompañamiento</w:t>
      </w:r>
      <w:r w:rsidRPr="00465B0A">
        <w:rPr>
          <w:rFonts w:asciiTheme="minorHAnsi" w:hAnsiTheme="minorHAnsi"/>
          <w:sz w:val="18"/>
          <w:szCs w:val="18"/>
        </w:rPr>
        <w:t xml:space="preserve"> asumirá los costos de: una (1) validación de</w:t>
      </w:r>
      <w:r>
        <w:rPr>
          <w:rFonts w:asciiTheme="minorHAnsi" w:hAnsiTheme="minorHAnsi"/>
          <w:sz w:val="18"/>
          <w:szCs w:val="18"/>
        </w:rPr>
        <w:t xml:space="preserve"> </w:t>
      </w:r>
      <w:r w:rsidRPr="00465B0A">
        <w:rPr>
          <w:rFonts w:asciiTheme="minorHAnsi" w:hAnsiTheme="minorHAnsi"/>
          <w:sz w:val="18"/>
          <w:szCs w:val="18"/>
        </w:rPr>
        <w:t>l</w:t>
      </w:r>
      <w:r>
        <w:rPr>
          <w:rFonts w:asciiTheme="minorHAnsi" w:hAnsiTheme="minorHAnsi"/>
          <w:sz w:val="18"/>
          <w:szCs w:val="18"/>
        </w:rPr>
        <w:t>a Propuesta del Proyecto, una (1) visita de ICONTEC en el sitio de implementación del proyecto y una (1) validación de la obtención de los ahorros</w:t>
      </w:r>
      <w:r w:rsidR="002D2A1B">
        <w:rPr>
          <w:rFonts w:asciiTheme="minorHAnsi" w:hAnsiTheme="minorHAnsi"/>
          <w:sz w:val="18"/>
          <w:szCs w:val="18"/>
        </w:rPr>
        <w:t xml:space="preserve"> cuando sea el caso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56E4"/>
    <w:multiLevelType w:val="hybridMultilevel"/>
    <w:tmpl w:val="5930DB7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DBA"/>
    <w:multiLevelType w:val="hybridMultilevel"/>
    <w:tmpl w:val="4F98E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32B3"/>
    <w:multiLevelType w:val="hybridMultilevel"/>
    <w:tmpl w:val="727ED9B2"/>
    <w:lvl w:ilvl="0" w:tplc="27D81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66948">
      <w:start w:val="5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6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B00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E1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44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AB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41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2F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5F6B6A"/>
    <w:multiLevelType w:val="hybridMultilevel"/>
    <w:tmpl w:val="E5E0765C"/>
    <w:lvl w:ilvl="0" w:tplc="DA28C7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322D8"/>
    <w:multiLevelType w:val="hybridMultilevel"/>
    <w:tmpl w:val="25905476"/>
    <w:lvl w:ilvl="0" w:tplc="649AC9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66168"/>
    <w:multiLevelType w:val="hybridMultilevel"/>
    <w:tmpl w:val="01A22428"/>
    <w:lvl w:ilvl="0" w:tplc="EB7A2CE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0C04B1"/>
    <w:multiLevelType w:val="hybridMultilevel"/>
    <w:tmpl w:val="B21EB7EE"/>
    <w:lvl w:ilvl="0" w:tplc="405468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7D056E"/>
    <w:multiLevelType w:val="hybridMultilevel"/>
    <w:tmpl w:val="B8320F1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336A5"/>
    <w:multiLevelType w:val="hybridMultilevel"/>
    <w:tmpl w:val="043486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865AA"/>
    <w:multiLevelType w:val="hybridMultilevel"/>
    <w:tmpl w:val="E54660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E6311"/>
    <w:multiLevelType w:val="hybridMultilevel"/>
    <w:tmpl w:val="B6DEE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F3EB1"/>
    <w:multiLevelType w:val="hybridMultilevel"/>
    <w:tmpl w:val="F7366A04"/>
    <w:lvl w:ilvl="0" w:tplc="8EFCFD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C7"/>
    <w:rsid w:val="000265A1"/>
    <w:rsid w:val="00026B7F"/>
    <w:rsid w:val="000418C3"/>
    <w:rsid w:val="00043B52"/>
    <w:rsid w:val="00053624"/>
    <w:rsid w:val="000809AE"/>
    <w:rsid w:val="000A0FBA"/>
    <w:rsid w:val="000A3F84"/>
    <w:rsid w:val="000B3959"/>
    <w:rsid w:val="000C2608"/>
    <w:rsid w:val="000D12E7"/>
    <w:rsid w:val="000D6683"/>
    <w:rsid w:val="000F092C"/>
    <w:rsid w:val="000F279D"/>
    <w:rsid w:val="001134FB"/>
    <w:rsid w:val="00114963"/>
    <w:rsid w:val="00116536"/>
    <w:rsid w:val="001413C2"/>
    <w:rsid w:val="0014489A"/>
    <w:rsid w:val="00151998"/>
    <w:rsid w:val="0019245F"/>
    <w:rsid w:val="001964F7"/>
    <w:rsid w:val="001A4CA0"/>
    <w:rsid w:val="001C27F2"/>
    <w:rsid w:val="001D11CE"/>
    <w:rsid w:val="001D514E"/>
    <w:rsid w:val="001F2CB2"/>
    <w:rsid w:val="00207150"/>
    <w:rsid w:val="0022465F"/>
    <w:rsid w:val="002433AC"/>
    <w:rsid w:val="002575D8"/>
    <w:rsid w:val="002753D3"/>
    <w:rsid w:val="00282261"/>
    <w:rsid w:val="00287DBF"/>
    <w:rsid w:val="002B73D3"/>
    <w:rsid w:val="002B7AB1"/>
    <w:rsid w:val="002C783A"/>
    <w:rsid w:val="002D16C6"/>
    <w:rsid w:val="002D1EA6"/>
    <w:rsid w:val="002D2A1B"/>
    <w:rsid w:val="002E699F"/>
    <w:rsid w:val="00306014"/>
    <w:rsid w:val="00335B34"/>
    <w:rsid w:val="003419E1"/>
    <w:rsid w:val="0036102B"/>
    <w:rsid w:val="00361CEE"/>
    <w:rsid w:val="0036617A"/>
    <w:rsid w:val="0038195F"/>
    <w:rsid w:val="00391A4D"/>
    <w:rsid w:val="00393278"/>
    <w:rsid w:val="003A22C2"/>
    <w:rsid w:val="003B102B"/>
    <w:rsid w:val="003B3366"/>
    <w:rsid w:val="003B63E2"/>
    <w:rsid w:val="003B747E"/>
    <w:rsid w:val="003C1CBE"/>
    <w:rsid w:val="003D17B0"/>
    <w:rsid w:val="003E0005"/>
    <w:rsid w:val="003E7318"/>
    <w:rsid w:val="003F59A7"/>
    <w:rsid w:val="00400380"/>
    <w:rsid w:val="004270F0"/>
    <w:rsid w:val="004426F1"/>
    <w:rsid w:val="00451F11"/>
    <w:rsid w:val="004523A3"/>
    <w:rsid w:val="004663B4"/>
    <w:rsid w:val="00471666"/>
    <w:rsid w:val="00490148"/>
    <w:rsid w:val="00492FA3"/>
    <w:rsid w:val="004A53D2"/>
    <w:rsid w:val="004B13DC"/>
    <w:rsid w:val="004B4821"/>
    <w:rsid w:val="004D6272"/>
    <w:rsid w:val="004E686D"/>
    <w:rsid w:val="004F0FB2"/>
    <w:rsid w:val="004F38F6"/>
    <w:rsid w:val="00501BB3"/>
    <w:rsid w:val="00506630"/>
    <w:rsid w:val="00510E14"/>
    <w:rsid w:val="00530213"/>
    <w:rsid w:val="00534CE4"/>
    <w:rsid w:val="00534E13"/>
    <w:rsid w:val="0055109F"/>
    <w:rsid w:val="005540B0"/>
    <w:rsid w:val="0057240D"/>
    <w:rsid w:val="005828E3"/>
    <w:rsid w:val="005846F3"/>
    <w:rsid w:val="005A1E53"/>
    <w:rsid w:val="005B06C0"/>
    <w:rsid w:val="005B2D06"/>
    <w:rsid w:val="005D1260"/>
    <w:rsid w:val="005D49C1"/>
    <w:rsid w:val="005F05CB"/>
    <w:rsid w:val="005F31ED"/>
    <w:rsid w:val="005F613C"/>
    <w:rsid w:val="00611DBC"/>
    <w:rsid w:val="00630F71"/>
    <w:rsid w:val="006376A3"/>
    <w:rsid w:val="00654800"/>
    <w:rsid w:val="006710D0"/>
    <w:rsid w:val="00673342"/>
    <w:rsid w:val="006A2E57"/>
    <w:rsid w:val="006B72DE"/>
    <w:rsid w:val="006B7709"/>
    <w:rsid w:val="006E0AF3"/>
    <w:rsid w:val="006E38F1"/>
    <w:rsid w:val="006E3FF4"/>
    <w:rsid w:val="006E5A8C"/>
    <w:rsid w:val="006E640E"/>
    <w:rsid w:val="006E7F8A"/>
    <w:rsid w:val="006F5764"/>
    <w:rsid w:val="006F760B"/>
    <w:rsid w:val="0071071F"/>
    <w:rsid w:val="007159AB"/>
    <w:rsid w:val="0071767F"/>
    <w:rsid w:val="00723EAE"/>
    <w:rsid w:val="00732CFA"/>
    <w:rsid w:val="00752675"/>
    <w:rsid w:val="00767039"/>
    <w:rsid w:val="00771465"/>
    <w:rsid w:val="007B04BC"/>
    <w:rsid w:val="007B056D"/>
    <w:rsid w:val="007B2687"/>
    <w:rsid w:val="007C150D"/>
    <w:rsid w:val="00807249"/>
    <w:rsid w:val="008123C0"/>
    <w:rsid w:val="00824932"/>
    <w:rsid w:val="00825041"/>
    <w:rsid w:val="008714D7"/>
    <w:rsid w:val="00874DA6"/>
    <w:rsid w:val="00874F11"/>
    <w:rsid w:val="00881216"/>
    <w:rsid w:val="008900D4"/>
    <w:rsid w:val="008A44E3"/>
    <w:rsid w:val="008A490F"/>
    <w:rsid w:val="008B0A39"/>
    <w:rsid w:val="008B34A3"/>
    <w:rsid w:val="008B611D"/>
    <w:rsid w:val="008C46A5"/>
    <w:rsid w:val="008C4BBF"/>
    <w:rsid w:val="008D492D"/>
    <w:rsid w:val="008F2101"/>
    <w:rsid w:val="008F27D6"/>
    <w:rsid w:val="008F7FEB"/>
    <w:rsid w:val="009008BA"/>
    <w:rsid w:val="009068A0"/>
    <w:rsid w:val="00906DEA"/>
    <w:rsid w:val="00926BCA"/>
    <w:rsid w:val="009579B8"/>
    <w:rsid w:val="00975474"/>
    <w:rsid w:val="00986DB5"/>
    <w:rsid w:val="00995731"/>
    <w:rsid w:val="00995754"/>
    <w:rsid w:val="009A6887"/>
    <w:rsid w:val="009A7A23"/>
    <w:rsid w:val="009B33BF"/>
    <w:rsid w:val="009D061E"/>
    <w:rsid w:val="009D0CF7"/>
    <w:rsid w:val="009D7EA0"/>
    <w:rsid w:val="009E4305"/>
    <w:rsid w:val="009E59CC"/>
    <w:rsid w:val="00A00BD9"/>
    <w:rsid w:val="00A16E6F"/>
    <w:rsid w:val="00A17FE2"/>
    <w:rsid w:val="00A20C37"/>
    <w:rsid w:val="00A221C7"/>
    <w:rsid w:val="00A23A6F"/>
    <w:rsid w:val="00A32150"/>
    <w:rsid w:val="00A4643E"/>
    <w:rsid w:val="00A47300"/>
    <w:rsid w:val="00A50C1C"/>
    <w:rsid w:val="00A6164F"/>
    <w:rsid w:val="00A644F4"/>
    <w:rsid w:val="00A71A2D"/>
    <w:rsid w:val="00A952BD"/>
    <w:rsid w:val="00AA1392"/>
    <w:rsid w:val="00AB16A2"/>
    <w:rsid w:val="00AC4D49"/>
    <w:rsid w:val="00AC5612"/>
    <w:rsid w:val="00AE79FD"/>
    <w:rsid w:val="00B01665"/>
    <w:rsid w:val="00B02075"/>
    <w:rsid w:val="00B05724"/>
    <w:rsid w:val="00B20A6D"/>
    <w:rsid w:val="00B25EE0"/>
    <w:rsid w:val="00B30352"/>
    <w:rsid w:val="00B355E6"/>
    <w:rsid w:val="00B50825"/>
    <w:rsid w:val="00B71FAB"/>
    <w:rsid w:val="00B757E4"/>
    <w:rsid w:val="00B758C7"/>
    <w:rsid w:val="00B856B2"/>
    <w:rsid w:val="00BB1476"/>
    <w:rsid w:val="00BD2569"/>
    <w:rsid w:val="00BD3C20"/>
    <w:rsid w:val="00BF4582"/>
    <w:rsid w:val="00BF475D"/>
    <w:rsid w:val="00BF5427"/>
    <w:rsid w:val="00BF5476"/>
    <w:rsid w:val="00C01863"/>
    <w:rsid w:val="00C04147"/>
    <w:rsid w:val="00C14EB5"/>
    <w:rsid w:val="00C20FE0"/>
    <w:rsid w:val="00C32AE2"/>
    <w:rsid w:val="00C41505"/>
    <w:rsid w:val="00C42AF7"/>
    <w:rsid w:val="00C45B6C"/>
    <w:rsid w:val="00C63E89"/>
    <w:rsid w:val="00C644D0"/>
    <w:rsid w:val="00C65954"/>
    <w:rsid w:val="00C71E4C"/>
    <w:rsid w:val="00C726DA"/>
    <w:rsid w:val="00C7415A"/>
    <w:rsid w:val="00C83534"/>
    <w:rsid w:val="00C94289"/>
    <w:rsid w:val="00CA49D4"/>
    <w:rsid w:val="00CB6FE7"/>
    <w:rsid w:val="00CC0A5B"/>
    <w:rsid w:val="00CC79EA"/>
    <w:rsid w:val="00CD6867"/>
    <w:rsid w:val="00CE3D82"/>
    <w:rsid w:val="00CF7E44"/>
    <w:rsid w:val="00D00850"/>
    <w:rsid w:val="00D26EB9"/>
    <w:rsid w:val="00D32A36"/>
    <w:rsid w:val="00D45117"/>
    <w:rsid w:val="00D46809"/>
    <w:rsid w:val="00D47146"/>
    <w:rsid w:val="00D60167"/>
    <w:rsid w:val="00D608F8"/>
    <w:rsid w:val="00D63017"/>
    <w:rsid w:val="00D63F77"/>
    <w:rsid w:val="00D809B0"/>
    <w:rsid w:val="00D84D8C"/>
    <w:rsid w:val="00D8688B"/>
    <w:rsid w:val="00D94D70"/>
    <w:rsid w:val="00DB0F48"/>
    <w:rsid w:val="00DB13F4"/>
    <w:rsid w:val="00DB360C"/>
    <w:rsid w:val="00DB65F6"/>
    <w:rsid w:val="00DD1B84"/>
    <w:rsid w:val="00DD5B53"/>
    <w:rsid w:val="00DE4A9C"/>
    <w:rsid w:val="00DE615F"/>
    <w:rsid w:val="00E05A1B"/>
    <w:rsid w:val="00E063D7"/>
    <w:rsid w:val="00E11B10"/>
    <w:rsid w:val="00E11FC0"/>
    <w:rsid w:val="00E269BE"/>
    <w:rsid w:val="00E46CFE"/>
    <w:rsid w:val="00E548B7"/>
    <w:rsid w:val="00E6538B"/>
    <w:rsid w:val="00E724E6"/>
    <w:rsid w:val="00E77B77"/>
    <w:rsid w:val="00E8156E"/>
    <w:rsid w:val="00E82527"/>
    <w:rsid w:val="00E908DA"/>
    <w:rsid w:val="00E94AA0"/>
    <w:rsid w:val="00EA157F"/>
    <w:rsid w:val="00EC5050"/>
    <w:rsid w:val="00ED2FC7"/>
    <w:rsid w:val="00ED512E"/>
    <w:rsid w:val="00EE4F8E"/>
    <w:rsid w:val="00EF6B77"/>
    <w:rsid w:val="00F016AA"/>
    <w:rsid w:val="00F118D5"/>
    <w:rsid w:val="00F17B3D"/>
    <w:rsid w:val="00F4085D"/>
    <w:rsid w:val="00F4517A"/>
    <w:rsid w:val="00F61583"/>
    <w:rsid w:val="00F63570"/>
    <w:rsid w:val="00F6716F"/>
    <w:rsid w:val="00F77D44"/>
    <w:rsid w:val="00F80903"/>
    <w:rsid w:val="00F870D8"/>
    <w:rsid w:val="00F97CB6"/>
    <w:rsid w:val="00FB0318"/>
    <w:rsid w:val="00FB137F"/>
    <w:rsid w:val="00FC1BD6"/>
    <w:rsid w:val="00FE3C06"/>
    <w:rsid w:val="00FE7891"/>
    <w:rsid w:val="00FF4C98"/>
    <w:rsid w:val="0254F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E086D"/>
  <w15:docId w15:val="{13312C17-C752-48FF-8B4A-EE6B091B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19E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3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9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3419E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41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19E1"/>
    <w:pPr>
      <w:spacing w:line="240" w:lineRule="auto"/>
    </w:pPr>
    <w:rPr>
      <w:rFonts w:eastAsiaTheme="minorEastAsia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19E1"/>
    <w:rPr>
      <w:rFonts w:eastAsiaTheme="minorEastAsia"/>
      <w:sz w:val="20"/>
      <w:szCs w:val="20"/>
      <w:lang w:eastAsia="es-CO"/>
    </w:rPr>
  </w:style>
  <w:style w:type="paragraph" w:customStyle="1" w:styleId="Cuerpo">
    <w:name w:val="Cuerpo"/>
    <w:rsid w:val="00341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47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A4730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35B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E269BE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8F1"/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8F1"/>
    <w:rPr>
      <w:rFonts w:eastAsiaTheme="minorEastAsia"/>
      <w:b/>
      <w:bCs/>
      <w:sz w:val="20"/>
      <w:szCs w:val="20"/>
      <w:lang w:eastAsia="es-CO"/>
    </w:rPr>
  </w:style>
  <w:style w:type="paragraph" w:customStyle="1" w:styleId="m-5175790508146181784cuerpo">
    <w:name w:val="m_-5175790508146181784cuerpo"/>
    <w:basedOn w:val="Normal"/>
    <w:rsid w:val="00F80903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B16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pe.rojas@bancold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cio.acuna@bancolde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erine.ovalle@bancolde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5DBE-CDA7-4C2E-9B43-C53DD14E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3465</Characters>
  <Application>Microsoft Office Word</Application>
  <DocSecurity>0</DocSecurity>
  <Lines>67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Fernanda Baldrich Oviedo</dc:creator>
  <cp:lastModifiedBy>Yuri Astrid Palacios Rusinque</cp:lastModifiedBy>
  <cp:revision>2</cp:revision>
  <cp:lastPrinted>2016-06-01T00:01:00Z</cp:lastPrinted>
  <dcterms:created xsi:type="dcterms:W3CDTF">2019-02-08T22:02:00Z</dcterms:created>
  <dcterms:modified xsi:type="dcterms:W3CDTF">2019-02-08T22:02:00Z</dcterms:modified>
</cp:coreProperties>
</file>