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A8" w:rsidRPr="00DE2437" w:rsidRDefault="001A09A8" w:rsidP="001A09A8">
      <w:pPr>
        <w:jc w:val="both"/>
        <w:rPr>
          <w:rFonts w:asciiTheme="minorHAnsi" w:hAnsiTheme="minorHAnsi" w:cstheme="minorHAnsi"/>
          <w:b/>
          <w:i/>
        </w:rPr>
      </w:pPr>
      <w:r w:rsidRPr="00DE2437">
        <w:rPr>
          <w:rFonts w:asciiTheme="minorHAnsi" w:hAnsiTheme="minorHAnsi" w:cstheme="minorHAnsi"/>
          <w:b/>
          <w:i/>
          <w:u w:val="single"/>
        </w:rPr>
        <w:t>A</w:t>
      </w:r>
      <w:r>
        <w:rPr>
          <w:rFonts w:asciiTheme="minorHAnsi" w:hAnsiTheme="minorHAnsi" w:cstheme="minorHAnsi"/>
          <w:b/>
          <w:i/>
          <w:u w:val="single"/>
        </w:rPr>
        <w:t>nexo N</w:t>
      </w:r>
      <w:r w:rsidRPr="00DE2437">
        <w:rPr>
          <w:rFonts w:asciiTheme="minorHAnsi" w:hAnsiTheme="minorHAnsi" w:cstheme="minorHAnsi"/>
          <w:b/>
          <w:i/>
          <w:u w:val="single"/>
        </w:rPr>
        <w:t xml:space="preserve">° </w:t>
      </w:r>
      <w:r w:rsidR="009A3A08">
        <w:rPr>
          <w:rFonts w:asciiTheme="minorHAnsi" w:hAnsiTheme="minorHAnsi" w:cstheme="minorHAnsi"/>
          <w:b/>
          <w:i/>
          <w:u w:val="single"/>
        </w:rPr>
        <w:t>6</w:t>
      </w:r>
      <w:r>
        <w:rPr>
          <w:rFonts w:asciiTheme="minorHAnsi" w:hAnsiTheme="minorHAnsi" w:cstheme="minorHAnsi"/>
          <w:i/>
          <w:u w:val="single"/>
        </w:rPr>
        <w:t xml:space="preserve">: </w:t>
      </w:r>
      <w:r>
        <w:rPr>
          <w:rFonts w:asciiTheme="minorHAnsi" w:hAnsiTheme="minorHAnsi" w:cstheme="minorHAnsi"/>
          <w:b/>
          <w:i/>
          <w:u w:val="single"/>
        </w:rPr>
        <w:t>C</w:t>
      </w:r>
      <w:r w:rsidRPr="00DE2437">
        <w:rPr>
          <w:rFonts w:asciiTheme="minorHAnsi" w:hAnsiTheme="minorHAnsi" w:cstheme="minorHAnsi"/>
          <w:b/>
          <w:i/>
          <w:u w:val="single"/>
        </w:rPr>
        <w:t xml:space="preserve">ertificaciones conocimiento y cumplimiento de las políticas corporativas. </w:t>
      </w:r>
    </w:p>
    <w:p w:rsidR="001A09A8" w:rsidRPr="00D946C4" w:rsidRDefault="001A09A8" w:rsidP="001A09A8">
      <w:pPr>
        <w:tabs>
          <w:tab w:val="left" w:pos="720"/>
        </w:tabs>
        <w:jc w:val="both"/>
        <w:rPr>
          <w:rFonts w:asciiTheme="minorHAnsi" w:hAnsiTheme="minorHAnsi" w:cstheme="minorHAnsi"/>
        </w:rPr>
      </w:pPr>
      <w:r w:rsidRPr="00D946C4">
        <w:rPr>
          <w:rFonts w:asciiTheme="minorHAnsi" w:hAnsiTheme="minorHAnsi" w:cstheme="minorHAnsi"/>
        </w:rPr>
        <w:t>Las políticas de seguridad contenidas en este documento deben ser cumplidas por parte de los prove</w:t>
      </w:r>
      <w:r>
        <w:rPr>
          <w:rFonts w:asciiTheme="minorHAnsi" w:hAnsiTheme="minorHAnsi" w:cstheme="minorHAnsi"/>
        </w:rPr>
        <w:t xml:space="preserve">edores de Bancóldex S.A., para </w:t>
      </w:r>
      <w:r w:rsidRPr="00D946C4">
        <w:rPr>
          <w:rFonts w:asciiTheme="minorHAnsi" w:hAnsiTheme="minorHAnsi" w:cstheme="minorHAnsi"/>
        </w:rPr>
        <w:t>asegurar un adecuado nivel de confidencialidad, integridad y di</w:t>
      </w:r>
      <w:r>
        <w:rPr>
          <w:rFonts w:asciiTheme="minorHAnsi" w:hAnsiTheme="minorHAnsi" w:cstheme="minorHAnsi"/>
        </w:rPr>
        <w:t>sponibilidad en su información.</w:t>
      </w:r>
    </w:p>
    <w:p w:rsidR="001A09A8"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Aportar certificación suscrita por el Representante Legal, sobre la propiedad del licenciamiento del software con</w:t>
      </w:r>
      <w:bookmarkStart w:id="0" w:name="_GoBack"/>
      <w:bookmarkEnd w:id="0"/>
      <w:r w:rsidRPr="00D946C4">
        <w:rPr>
          <w:rFonts w:asciiTheme="minorHAnsi" w:hAnsiTheme="minorHAnsi" w:cstheme="minorHAnsi"/>
        </w:rPr>
        <w:t>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1A09A8" w:rsidRPr="00D946C4" w:rsidRDefault="001A09A8" w:rsidP="001A09A8">
      <w:pPr>
        <w:spacing w:after="0"/>
        <w:ind w:left="426"/>
        <w:jc w:val="both"/>
        <w:rPr>
          <w:rFonts w:asciiTheme="minorHAnsi" w:hAnsiTheme="minorHAnsi" w:cstheme="minorHAnsi"/>
        </w:rPr>
      </w:pPr>
    </w:p>
    <w:p w:rsidR="001A09A8" w:rsidRPr="00D946C4"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Bancóldex y su información. </w:t>
      </w:r>
    </w:p>
    <w:p w:rsidR="001A09A8" w:rsidRPr="00D946C4" w:rsidRDefault="001A09A8" w:rsidP="001A09A8">
      <w:pPr>
        <w:tabs>
          <w:tab w:val="num" w:pos="426"/>
        </w:tabs>
        <w:ind w:left="426" w:hanging="284"/>
        <w:jc w:val="both"/>
        <w:rPr>
          <w:rFonts w:asciiTheme="minorHAnsi" w:hAnsiTheme="minorHAnsi" w:cstheme="minorHAnsi"/>
        </w:rPr>
      </w:pPr>
    </w:p>
    <w:p w:rsidR="001A09A8" w:rsidRPr="00D946C4"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1A09A8" w:rsidRPr="00D946C4" w:rsidRDefault="001A09A8" w:rsidP="001A09A8">
      <w:pPr>
        <w:tabs>
          <w:tab w:val="num" w:pos="426"/>
        </w:tabs>
        <w:ind w:left="426" w:hanging="284"/>
        <w:jc w:val="both"/>
        <w:rPr>
          <w:rFonts w:asciiTheme="minorHAnsi" w:hAnsiTheme="minorHAnsi" w:cstheme="minorHAnsi"/>
        </w:rPr>
      </w:pPr>
    </w:p>
    <w:p w:rsidR="001A09A8" w:rsidRPr="00D946C4"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w:t>
      </w:r>
      <w:proofErr w:type="spellStart"/>
      <w:r w:rsidRPr="00D946C4">
        <w:rPr>
          <w:rFonts w:asciiTheme="minorHAnsi" w:hAnsiTheme="minorHAnsi" w:cstheme="minorHAnsi"/>
        </w:rPr>
        <w:t>Cintoteca</w:t>
      </w:r>
      <w:proofErr w:type="spellEnd"/>
      <w:r w:rsidRPr="00D946C4">
        <w:rPr>
          <w:rFonts w:asciiTheme="minorHAnsi" w:hAnsiTheme="minorHAnsi" w:cstheme="minorHAnsi"/>
        </w:rPr>
        <w:t xml:space="preserve"> o cualquier otro sitio declarado como de acceso restringido en el Banco, </w:t>
      </w:r>
      <w:proofErr w:type="gramStart"/>
      <w:r w:rsidRPr="00D946C4">
        <w:rPr>
          <w:rFonts w:asciiTheme="minorHAnsi" w:hAnsiTheme="minorHAnsi" w:cstheme="minorHAnsi"/>
        </w:rPr>
        <w:t>sin  un</w:t>
      </w:r>
      <w:proofErr w:type="gramEnd"/>
      <w:r w:rsidRPr="00D946C4">
        <w:rPr>
          <w:rFonts w:asciiTheme="minorHAnsi" w:hAnsiTheme="minorHAnsi" w:cstheme="minorHAnsi"/>
        </w:rPr>
        <w:t xml:space="preserve"> acompañante o con la debida autorización, para lo cual se compromete a dejar registro en las bitácoras dispuestas para tal fin. </w:t>
      </w:r>
    </w:p>
    <w:p w:rsidR="001A09A8" w:rsidRPr="00D946C4" w:rsidRDefault="001A09A8" w:rsidP="001A09A8">
      <w:pPr>
        <w:tabs>
          <w:tab w:val="num" w:pos="426"/>
        </w:tabs>
        <w:ind w:left="426" w:hanging="284"/>
        <w:jc w:val="both"/>
        <w:rPr>
          <w:rFonts w:asciiTheme="minorHAnsi" w:hAnsiTheme="minorHAnsi" w:cstheme="minorHAnsi"/>
        </w:rPr>
      </w:pPr>
    </w:p>
    <w:p w:rsidR="001A09A8" w:rsidRPr="00D946C4"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1A09A8" w:rsidRPr="00D946C4" w:rsidRDefault="001A09A8" w:rsidP="001A09A8">
      <w:pPr>
        <w:tabs>
          <w:tab w:val="num" w:pos="426"/>
        </w:tabs>
        <w:ind w:left="426" w:hanging="284"/>
        <w:jc w:val="both"/>
        <w:rPr>
          <w:rFonts w:asciiTheme="minorHAnsi" w:hAnsiTheme="minorHAnsi" w:cstheme="minorHAnsi"/>
        </w:rPr>
      </w:pPr>
    </w:p>
    <w:p w:rsidR="001A09A8" w:rsidRPr="00D946C4"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1A09A8" w:rsidRPr="00D946C4" w:rsidRDefault="001A09A8" w:rsidP="001A09A8">
      <w:pPr>
        <w:tabs>
          <w:tab w:val="num" w:pos="426"/>
        </w:tabs>
        <w:ind w:left="426" w:hanging="284"/>
        <w:rPr>
          <w:rFonts w:asciiTheme="minorHAnsi" w:hAnsiTheme="minorHAnsi" w:cstheme="minorHAnsi"/>
        </w:rPr>
      </w:pPr>
    </w:p>
    <w:p w:rsidR="001A09A8" w:rsidRPr="00D946C4"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1A09A8" w:rsidRPr="00D946C4" w:rsidRDefault="001A09A8" w:rsidP="001A09A8">
      <w:pPr>
        <w:tabs>
          <w:tab w:val="num" w:pos="426"/>
        </w:tabs>
        <w:ind w:left="426" w:hanging="284"/>
        <w:rPr>
          <w:rFonts w:asciiTheme="minorHAnsi" w:hAnsiTheme="minorHAnsi" w:cstheme="minorHAnsi"/>
        </w:rPr>
      </w:pPr>
    </w:p>
    <w:p w:rsidR="001A09A8" w:rsidRPr="00D946C4"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Asegurar que al término del contrato, toda información, software, dispositivos y demás elementos tecnológicos de propiedad del Banco serán eliminados de los equipos del proveedor, atendiendo los acuerdos de confidencialidad.</w:t>
      </w:r>
    </w:p>
    <w:p w:rsidR="001A09A8" w:rsidRPr="00D946C4" w:rsidRDefault="001A09A8" w:rsidP="001A09A8">
      <w:pPr>
        <w:pStyle w:val="Prrafodelista"/>
        <w:rPr>
          <w:rFonts w:asciiTheme="minorHAnsi" w:hAnsiTheme="minorHAnsi" w:cstheme="minorHAnsi"/>
        </w:rPr>
      </w:pPr>
    </w:p>
    <w:p w:rsidR="001A09A8" w:rsidRDefault="001A09A8" w:rsidP="001A09A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Asegurar que como producto de este contrato, entregará al Ba</w:t>
      </w:r>
      <w:r>
        <w:rPr>
          <w:rFonts w:asciiTheme="minorHAnsi" w:hAnsiTheme="minorHAnsi" w:cstheme="minorHAnsi"/>
        </w:rPr>
        <w:t xml:space="preserve">nco una solución que garantice </w:t>
      </w:r>
      <w:r w:rsidRPr="00D946C4">
        <w:rPr>
          <w:rFonts w:asciiTheme="minorHAnsi" w:hAnsiTheme="minorHAnsi" w:cstheme="minorHAnsi"/>
        </w:rPr>
        <w:t xml:space="preserve">confidencialidad, integridad y disponibilidad de la información relacionada con el objeto del mismo. </w:t>
      </w:r>
    </w:p>
    <w:p w:rsidR="001A09A8" w:rsidRDefault="001A09A8" w:rsidP="001A09A8">
      <w:pPr>
        <w:pStyle w:val="Prrafodelista"/>
        <w:rPr>
          <w:rFonts w:asciiTheme="minorHAnsi" w:hAnsiTheme="minorHAnsi" w:cstheme="minorHAnsi"/>
        </w:rPr>
      </w:pPr>
    </w:p>
    <w:p w:rsidR="001A09A8" w:rsidRPr="0091201A" w:rsidRDefault="001A09A8" w:rsidP="001A09A8">
      <w:pPr>
        <w:numPr>
          <w:ilvl w:val="0"/>
          <w:numId w:val="1"/>
        </w:numPr>
        <w:tabs>
          <w:tab w:val="clear" w:pos="720"/>
          <w:tab w:val="num" w:pos="426"/>
        </w:tabs>
        <w:spacing w:after="0"/>
        <w:ind w:left="426" w:hanging="426"/>
        <w:jc w:val="both"/>
        <w:rPr>
          <w:rFonts w:asciiTheme="minorHAnsi" w:hAnsiTheme="minorHAnsi" w:cstheme="minorHAnsi"/>
        </w:rPr>
      </w:pPr>
      <w:r w:rsidRPr="0091201A">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rsidR="001A09A8" w:rsidRPr="0091201A" w:rsidRDefault="001A09A8" w:rsidP="001A09A8">
      <w:pPr>
        <w:spacing w:after="0"/>
        <w:ind w:left="426"/>
        <w:jc w:val="both"/>
        <w:rPr>
          <w:rFonts w:asciiTheme="minorHAnsi" w:hAnsiTheme="minorHAnsi" w:cstheme="minorHAnsi"/>
        </w:rPr>
      </w:pPr>
    </w:p>
    <w:p w:rsidR="001A09A8" w:rsidRPr="0091201A" w:rsidRDefault="001A09A8" w:rsidP="001A09A8">
      <w:pPr>
        <w:numPr>
          <w:ilvl w:val="0"/>
          <w:numId w:val="1"/>
        </w:numPr>
        <w:tabs>
          <w:tab w:val="clear" w:pos="720"/>
          <w:tab w:val="num" w:pos="426"/>
        </w:tabs>
        <w:spacing w:after="0"/>
        <w:ind w:left="426" w:hanging="426"/>
        <w:jc w:val="both"/>
        <w:rPr>
          <w:rFonts w:asciiTheme="minorHAnsi" w:hAnsiTheme="minorHAnsi" w:cstheme="minorHAnsi"/>
        </w:rPr>
      </w:pPr>
      <w:r w:rsidRPr="0091201A">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1A09A8" w:rsidRPr="0091201A" w:rsidRDefault="001A09A8" w:rsidP="001A09A8">
      <w:pPr>
        <w:spacing w:after="0"/>
        <w:ind w:left="426"/>
        <w:jc w:val="both"/>
        <w:rPr>
          <w:rFonts w:asciiTheme="minorHAnsi" w:hAnsiTheme="minorHAnsi" w:cstheme="minorHAnsi"/>
        </w:rPr>
      </w:pPr>
    </w:p>
    <w:p w:rsidR="001A09A8" w:rsidRPr="0091201A" w:rsidRDefault="001A09A8" w:rsidP="001A09A8">
      <w:pPr>
        <w:numPr>
          <w:ilvl w:val="0"/>
          <w:numId w:val="1"/>
        </w:numPr>
        <w:tabs>
          <w:tab w:val="clear" w:pos="720"/>
          <w:tab w:val="num" w:pos="426"/>
        </w:tabs>
        <w:spacing w:after="0"/>
        <w:ind w:left="426" w:hanging="426"/>
        <w:jc w:val="both"/>
        <w:rPr>
          <w:rFonts w:asciiTheme="minorHAnsi" w:hAnsiTheme="minorHAnsi" w:cstheme="minorHAnsi"/>
        </w:rPr>
      </w:pPr>
      <w:r w:rsidRPr="0091201A">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1A09A8" w:rsidRPr="0091201A" w:rsidRDefault="001A09A8" w:rsidP="001A09A8">
      <w:pPr>
        <w:spacing w:after="0"/>
        <w:ind w:left="426"/>
        <w:jc w:val="both"/>
        <w:rPr>
          <w:rFonts w:asciiTheme="minorHAnsi" w:hAnsiTheme="minorHAnsi" w:cstheme="minorHAnsi"/>
        </w:rPr>
      </w:pPr>
    </w:p>
    <w:p w:rsidR="001A09A8" w:rsidRPr="0091201A" w:rsidRDefault="001A09A8" w:rsidP="001A09A8">
      <w:pPr>
        <w:numPr>
          <w:ilvl w:val="0"/>
          <w:numId w:val="1"/>
        </w:numPr>
        <w:tabs>
          <w:tab w:val="clear" w:pos="720"/>
          <w:tab w:val="num" w:pos="426"/>
        </w:tabs>
        <w:spacing w:after="0"/>
        <w:ind w:left="426" w:hanging="426"/>
        <w:jc w:val="both"/>
        <w:rPr>
          <w:rFonts w:asciiTheme="minorHAnsi" w:hAnsiTheme="minorHAnsi" w:cstheme="minorHAnsi"/>
        </w:rPr>
      </w:pPr>
      <w:r w:rsidRPr="0091201A">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1A09A8" w:rsidRPr="0091201A" w:rsidRDefault="001A09A8" w:rsidP="001A09A8">
      <w:pPr>
        <w:spacing w:after="0"/>
        <w:ind w:left="426"/>
        <w:jc w:val="both"/>
        <w:rPr>
          <w:rFonts w:asciiTheme="minorHAnsi" w:hAnsiTheme="minorHAnsi" w:cstheme="minorHAnsi"/>
        </w:rPr>
      </w:pPr>
    </w:p>
    <w:p w:rsidR="001A09A8" w:rsidRDefault="001A09A8" w:rsidP="001A09A8">
      <w:pPr>
        <w:numPr>
          <w:ilvl w:val="0"/>
          <w:numId w:val="1"/>
        </w:numPr>
        <w:tabs>
          <w:tab w:val="clear" w:pos="720"/>
          <w:tab w:val="num" w:pos="426"/>
        </w:tabs>
        <w:spacing w:after="0"/>
        <w:ind w:left="426" w:hanging="426"/>
        <w:jc w:val="both"/>
        <w:rPr>
          <w:rFonts w:asciiTheme="minorHAnsi" w:hAnsiTheme="minorHAnsi" w:cstheme="minorHAnsi"/>
        </w:rPr>
      </w:pPr>
      <w:r w:rsidRPr="0091201A">
        <w:rPr>
          <w:rFonts w:asciiTheme="minorHAnsi" w:hAnsiTheme="minorHAnsi" w:cstheme="minorHAnsi"/>
        </w:rPr>
        <w:t>Las soluciones basadas en infraestructura de nube deben contener especificaciones relativas a los siguientes aspectos:</w:t>
      </w:r>
    </w:p>
    <w:p w:rsidR="001A09A8" w:rsidRPr="00D946C4" w:rsidRDefault="001A09A8" w:rsidP="001A09A8">
      <w:pPr>
        <w:pStyle w:val="Prrafodelista"/>
        <w:rPr>
          <w:rFonts w:asciiTheme="minorHAnsi" w:hAnsiTheme="minorHAnsi" w:cstheme="minorHAnsi"/>
        </w:rPr>
      </w:pP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r>
        <w:rPr>
          <w:rFonts w:asciiTheme="minorHAnsi" w:hAnsiTheme="minorHAnsi" w:cstheme="minorHAnsi"/>
        </w:rPr>
        <w:t>a</w:t>
      </w:r>
      <w:r w:rsidRPr="00D946C4">
        <w:rPr>
          <w:rFonts w:asciiTheme="minorHAnsi" w:hAnsiTheme="minorHAnsi" w:cstheme="minorHAnsi"/>
        </w:rPr>
        <w:t>dm</w:t>
      </w:r>
      <w:r>
        <w:rPr>
          <w:rFonts w:asciiTheme="minorHAnsi" w:hAnsiTheme="minorHAnsi" w:cstheme="minorHAnsi"/>
        </w:rPr>
        <w:t xml:space="preserve">inistración </w:t>
      </w:r>
      <w:r w:rsidRPr="00D946C4">
        <w:rPr>
          <w:rFonts w:asciiTheme="minorHAnsi" w:hAnsiTheme="minorHAnsi" w:cstheme="minorHAnsi"/>
        </w:rPr>
        <w:t xml:space="preserve">de copias de seguridad durante la ejecución del contrato.  Si Bancóldex recibirá durante el contrato copias de respaldo periódicas </w:t>
      </w:r>
      <w:proofErr w:type="gramStart"/>
      <w:r w:rsidRPr="00D946C4">
        <w:rPr>
          <w:rFonts w:asciiTheme="minorHAnsi" w:hAnsiTheme="minorHAnsi" w:cstheme="minorHAnsi"/>
        </w:rPr>
        <w:t>que  minimicen</w:t>
      </w:r>
      <w:proofErr w:type="gramEnd"/>
      <w:r w:rsidRPr="00D946C4">
        <w:rPr>
          <w:rFonts w:asciiTheme="minorHAnsi" w:hAnsiTheme="minorHAnsi" w:cstheme="minorHAnsi"/>
        </w:rPr>
        <w:t xml:space="preserve"> la dependencia total del proveedor en tal sentido.</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Localización de los datos : Sitio  principal y de contingencia en el que estarán los datos del Banco</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1A09A8" w:rsidRPr="00D946C4" w:rsidRDefault="001A09A8" w:rsidP="001A09A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pStyle w:val="Default"/>
        <w:spacing w:line="276" w:lineRule="auto"/>
        <w:jc w:val="both"/>
        <w:rPr>
          <w:rFonts w:asciiTheme="minorHAnsi" w:hAnsiTheme="minorHAnsi" w:cstheme="minorHAnsi"/>
        </w:rPr>
      </w:pPr>
    </w:p>
    <w:p w:rsidR="001A09A8" w:rsidRPr="00D946C4" w:rsidRDefault="001A09A8" w:rsidP="001A09A8">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1A09A8" w:rsidRPr="00D946C4" w:rsidRDefault="001A09A8" w:rsidP="001A09A8">
      <w:pPr>
        <w:pStyle w:val="Default"/>
        <w:spacing w:line="276" w:lineRule="auto"/>
        <w:jc w:val="both"/>
        <w:rPr>
          <w:rFonts w:asciiTheme="minorHAnsi" w:hAnsiTheme="minorHAnsi" w:cstheme="minorHAnsi"/>
        </w:rPr>
      </w:pPr>
    </w:p>
    <w:p w:rsidR="001A09A8" w:rsidRPr="00D946C4" w:rsidRDefault="001A09A8" w:rsidP="001A09A8">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1A09A8" w:rsidRPr="00D946C4" w:rsidRDefault="001A09A8" w:rsidP="001A09A8">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1A09A8" w:rsidRPr="00D946C4" w:rsidRDefault="001A09A8" w:rsidP="001A09A8">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1A09A8" w:rsidRPr="00D946C4" w:rsidRDefault="001A09A8" w:rsidP="001A09A8">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1A09A8" w:rsidRPr="00D946C4" w:rsidRDefault="001A09A8" w:rsidP="001A09A8">
      <w:pPr>
        <w:jc w:val="both"/>
        <w:rPr>
          <w:rFonts w:asciiTheme="minorHAnsi" w:hAnsiTheme="minorHAnsi" w:cstheme="minorHAnsi"/>
        </w:rPr>
      </w:pPr>
    </w:p>
    <w:p w:rsidR="001A09A8" w:rsidRPr="00D946C4" w:rsidRDefault="001A09A8" w:rsidP="001A09A8">
      <w:pPr>
        <w:jc w:val="both"/>
        <w:rPr>
          <w:rFonts w:asciiTheme="minorHAnsi" w:hAnsiTheme="minorHAnsi" w:cstheme="minorHAnsi"/>
        </w:rPr>
      </w:pPr>
      <w:r w:rsidRPr="00D946C4">
        <w:rPr>
          <w:rFonts w:asciiTheme="minorHAnsi" w:hAnsiTheme="minorHAnsi" w:cstheme="minorHAnsi"/>
        </w:rPr>
        <w:t>Estimados Señores:</w:t>
      </w:r>
    </w:p>
    <w:p w:rsidR="001A09A8" w:rsidRDefault="001A09A8" w:rsidP="001A09A8">
      <w:pPr>
        <w:jc w:val="both"/>
        <w:rPr>
          <w:rFonts w:asciiTheme="minorHAnsi" w:hAnsiTheme="minorHAnsi" w:cstheme="minorHAnsi"/>
        </w:rPr>
      </w:pPr>
    </w:p>
    <w:p w:rsidR="001A09A8" w:rsidRPr="00D946C4" w:rsidRDefault="001A09A8" w:rsidP="001A09A8">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1A09A8" w:rsidRPr="00D946C4" w:rsidRDefault="001A09A8" w:rsidP="001A09A8">
      <w:pPr>
        <w:jc w:val="both"/>
        <w:rPr>
          <w:rFonts w:asciiTheme="minorHAnsi" w:hAnsiTheme="minorHAnsi" w:cstheme="minorHAnsi"/>
        </w:rPr>
      </w:pPr>
    </w:p>
    <w:p w:rsidR="001A09A8" w:rsidRPr="00D946C4" w:rsidRDefault="001A09A8" w:rsidP="001A09A8">
      <w:pPr>
        <w:jc w:val="both"/>
        <w:rPr>
          <w:rFonts w:asciiTheme="minorHAnsi" w:hAnsiTheme="minorHAnsi" w:cstheme="minorHAnsi"/>
        </w:rPr>
      </w:pPr>
      <w:r w:rsidRPr="00D946C4">
        <w:rPr>
          <w:rFonts w:asciiTheme="minorHAnsi" w:hAnsiTheme="minorHAnsi" w:cstheme="minorHAnsi"/>
        </w:rPr>
        <w:t xml:space="preserve">Cordialmente, </w:t>
      </w: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Default="001A09A8" w:rsidP="001A09A8">
      <w:pPr>
        <w:jc w:val="both"/>
        <w:rPr>
          <w:rFonts w:asciiTheme="minorHAnsi" w:hAnsiTheme="minorHAnsi" w:cstheme="minorHAnsi"/>
        </w:rPr>
      </w:pPr>
    </w:p>
    <w:p w:rsidR="001A09A8" w:rsidRPr="00D946C4" w:rsidRDefault="001A09A8" w:rsidP="001A09A8">
      <w:pPr>
        <w:jc w:val="both"/>
        <w:rPr>
          <w:rFonts w:asciiTheme="minorHAnsi" w:hAnsiTheme="minorHAnsi" w:cstheme="minorHAnsi"/>
        </w:rPr>
      </w:pPr>
    </w:p>
    <w:p w:rsidR="001A09A8" w:rsidRPr="00D946C4" w:rsidRDefault="001A09A8" w:rsidP="001A09A8">
      <w:pPr>
        <w:jc w:val="both"/>
        <w:rPr>
          <w:rFonts w:asciiTheme="minorHAnsi" w:hAnsiTheme="minorHAnsi" w:cstheme="minorHAnsi"/>
        </w:rPr>
      </w:pPr>
      <w:r w:rsidRPr="00D946C4">
        <w:rPr>
          <w:rFonts w:asciiTheme="minorHAnsi" w:hAnsiTheme="minorHAnsi" w:cstheme="minorHAnsi"/>
        </w:rPr>
        <w:t>__________________________________</w:t>
      </w:r>
    </w:p>
    <w:p w:rsidR="001A09A8" w:rsidRPr="00D946C4" w:rsidRDefault="001A09A8" w:rsidP="001A09A8">
      <w:pPr>
        <w:jc w:val="both"/>
        <w:rPr>
          <w:rFonts w:asciiTheme="minorHAnsi" w:hAnsiTheme="minorHAnsi" w:cstheme="minorHAnsi"/>
        </w:rPr>
      </w:pPr>
      <w:r w:rsidRPr="00D946C4">
        <w:rPr>
          <w:rFonts w:asciiTheme="minorHAnsi" w:hAnsiTheme="minorHAnsi" w:cstheme="minorHAnsi"/>
        </w:rPr>
        <w:t>Firma</w:t>
      </w:r>
    </w:p>
    <w:p w:rsidR="001A09A8" w:rsidRPr="00D946C4" w:rsidRDefault="001A09A8" w:rsidP="001A09A8">
      <w:pPr>
        <w:jc w:val="both"/>
        <w:rPr>
          <w:rFonts w:asciiTheme="minorHAnsi" w:hAnsiTheme="minorHAnsi" w:cstheme="minorHAnsi"/>
        </w:rPr>
      </w:pPr>
    </w:p>
    <w:p w:rsidR="001A09A8" w:rsidRPr="00D946C4" w:rsidRDefault="001A09A8" w:rsidP="001A09A8">
      <w:pPr>
        <w:jc w:val="both"/>
        <w:rPr>
          <w:rFonts w:asciiTheme="minorHAnsi" w:hAnsiTheme="minorHAnsi" w:cstheme="minorHAnsi"/>
        </w:rPr>
      </w:pPr>
      <w:r w:rsidRPr="00D946C4">
        <w:rPr>
          <w:rFonts w:asciiTheme="minorHAnsi" w:hAnsiTheme="minorHAnsi" w:cstheme="minorHAnsi"/>
        </w:rPr>
        <w:t>Cédula:</w:t>
      </w:r>
    </w:p>
    <w:p w:rsidR="001A09A8" w:rsidRDefault="001A09A8" w:rsidP="001A09A8"/>
    <w:p w:rsidR="00BA6724" w:rsidRDefault="00BA6724"/>
    <w:sectPr w:rsidR="00BA67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82"/>
    <w:rsid w:val="00015C1C"/>
    <w:rsid w:val="001A09A8"/>
    <w:rsid w:val="00675182"/>
    <w:rsid w:val="009A3A08"/>
    <w:rsid w:val="00BA672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34DB7EE-699A-415F-B387-4EEFB837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A8"/>
    <w:pPr>
      <w:spacing w:after="200" w:line="240" w:lineRule="auto"/>
    </w:pPr>
    <w:rPr>
      <w:rFonts w:ascii="Cambria" w:eastAsia="Times New Roman" w:hAnsi="Cambria" w:cs="Times New Roman"/>
      <w:sz w:val="24"/>
      <w:szCs w:val="24"/>
      <w:lang w:val="es-CO"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1A09A8"/>
    <w:pPr>
      <w:ind w:left="720"/>
      <w:contextualSpacing/>
    </w:pPr>
  </w:style>
  <w:style w:type="paragraph" w:customStyle="1" w:styleId="Default">
    <w:name w:val="Default"/>
    <w:link w:val="DefaultCar"/>
    <w:rsid w:val="001A09A8"/>
    <w:pPr>
      <w:autoSpaceDE w:val="0"/>
      <w:autoSpaceDN w:val="0"/>
      <w:adjustRightInd w:val="0"/>
      <w:spacing w:after="0" w:line="240" w:lineRule="auto"/>
    </w:pPr>
    <w:rPr>
      <w:rFonts w:ascii="Arial" w:eastAsia="Times New Roman" w:hAnsi="Arial" w:cs="Arial"/>
      <w:color w:val="000000"/>
      <w:sz w:val="24"/>
      <w:szCs w:val="24"/>
      <w:lang w:val="es-CO" w:eastAsia="es-CO"/>
    </w:rPr>
  </w:style>
  <w:style w:type="character" w:customStyle="1" w:styleId="DefaultCar">
    <w:name w:val="Default Car"/>
    <w:link w:val="Default"/>
    <w:locked/>
    <w:rsid w:val="001A09A8"/>
    <w:rPr>
      <w:rFonts w:ascii="Arial" w:eastAsia="Times New Roman" w:hAnsi="Arial" w:cs="Arial"/>
      <w:color w:val="000000"/>
      <w:sz w:val="24"/>
      <w:szCs w:val="24"/>
      <w:lang w:val="es-CO" w:eastAsia="es-CO"/>
    </w:rPr>
  </w:style>
  <w:style w:type="character" w:customStyle="1" w:styleId="PrrafodelistaCar">
    <w:name w:val="Párrafo de lista Car"/>
    <w:aliases w:val="titulo 3 Car,Bullet Car"/>
    <w:link w:val="Prrafodelista"/>
    <w:uiPriority w:val="34"/>
    <w:locked/>
    <w:rsid w:val="001A09A8"/>
    <w:rPr>
      <w:rFonts w:ascii="Cambria" w:eastAsia="Times New Roman" w:hAnsi="Cambria" w:cs="Times New Roman"/>
      <w:sz w:val="24"/>
      <w:szCs w:val="24"/>
      <w:lang w:val="es-C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4968</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Romero Morales</dc:creator>
  <cp:keywords/>
  <dc:description/>
  <cp:lastModifiedBy>Leonardo Romero Morales</cp:lastModifiedBy>
  <cp:revision>3</cp:revision>
  <dcterms:created xsi:type="dcterms:W3CDTF">2018-04-13T22:13:00Z</dcterms:created>
  <dcterms:modified xsi:type="dcterms:W3CDTF">2018-04-18T22:11:00Z</dcterms:modified>
</cp:coreProperties>
</file>