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08" w:rsidRPr="00DE2437" w:rsidRDefault="00462908" w:rsidP="00462908">
      <w:pPr>
        <w:jc w:val="both"/>
        <w:rPr>
          <w:rFonts w:asciiTheme="minorHAnsi" w:hAnsiTheme="minorHAnsi" w:cstheme="minorHAnsi"/>
          <w:b/>
          <w:i/>
        </w:rPr>
      </w:pPr>
      <w:r w:rsidRPr="00DE2437">
        <w:rPr>
          <w:rFonts w:asciiTheme="minorHAnsi" w:hAnsiTheme="minorHAnsi" w:cstheme="minorHAnsi"/>
          <w:b/>
          <w:i/>
          <w:u w:val="single"/>
        </w:rPr>
        <w:t>A</w:t>
      </w:r>
      <w:r>
        <w:rPr>
          <w:rFonts w:asciiTheme="minorHAnsi" w:hAnsiTheme="minorHAnsi" w:cstheme="minorHAnsi"/>
          <w:b/>
          <w:i/>
          <w:u w:val="single"/>
        </w:rPr>
        <w:t>nexo N</w:t>
      </w:r>
      <w:r w:rsidRPr="00DE2437">
        <w:rPr>
          <w:rFonts w:asciiTheme="minorHAnsi" w:hAnsiTheme="minorHAnsi" w:cstheme="minorHAnsi"/>
          <w:b/>
          <w:i/>
          <w:u w:val="single"/>
        </w:rPr>
        <w:t xml:space="preserve">° </w:t>
      </w:r>
      <w:proofErr w:type="gramStart"/>
      <w:r w:rsidRPr="00DE2437">
        <w:rPr>
          <w:rFonts w:asciiTheme="minorHAnsi" w:hAnsiTheme="minorHAnsi" w:cstheme="minorHAnsi"/>
          <w:b/>
          <w:i/>
          <w:u w:val="single"/>
        </w:rPr>
        <w:t>3</w:t>
      </w:r>
      <w:r w:rsidRPr="00DE2437">
        <w:rPr>
          <w:rFonts w:asciiTheme="minorHAnsi" w:hAnsiTheme="minorHAnsi" w:cstheme="minorHAnsi"/>
          <w:i/>
          <w:u w:val="single"/>
        </w:rPr>
        <w:t xml:space="preserve"> </w:t>
      </w:r>
      <w:r>
        <w:rPr>
          <w:rFonts w:asciiTheme="minorHAnsi" w:hAnsiTheme="minorHAnsi" w:cstheme="minorHAnsi"/>
          <w:i/>
          <w:u w:val="single"/>
        </w:rPr>
        <w:t>:</w:t>
      </w:r>
      <w:proofErr w:type="gramEnd"/>
      <w:r>
        <w:rPr>
          <w:rFonts w:asciiTheme="minorHAnsi" w:hAnsiTheme="minorHAnsi" w:cstheme="minorHAnsi"/>
          <w:i/>
          <w:u w:val="single"/>
        </w:rPr>
        <w:t xml:space="preserve"> </w:t>
      </w:r>
      <w:r>
        <w:rPr>
          <w:rFonts w:asciiTheme="minorHAnsi" w:hAnsiTheme="minorHAnsi" w:cstheme="minorHAnsi"/>
          <w:b/>
          <w:i/>
          <w:u w:val="single"/>
        </w:rPr>
        <w:t>C</w:t>
      </w:r>
      <w:r w:rsidRPr="00DE2437">
        <w:rPr>
          <w:rFonts w:asciiTheme="minorHAnsi" w:hAnsiTheme="minorHAnsi" w:cstheme="minorHAnsi"/>
          <w:b/>
          <w:i/>
          <w:u w:val="single"/>
        </w:rPr>
        <w:t xml:space="preserve">ertificaciones conocimiento y cumplimiento de las políticas corporativas. </w:t>
      </w:r>
    </w:p>
    <w:p w:rsidR="00462908" w:rsidRPr="00D946C4" w:rsidRDefault="00462908" w:rsidP="00462908">
      <w:pPr>
        <w:jc w:val="center"/>
        <w:rPr>
          <w:rFonts w:asciiTheme="minorHAnsi" w:hAnsiTheme="minorHAnsi" w:cstheme="minorHAnsi"/>
          <w:b/>
          <w:u w:val="single"/>
        </w:rPr>
      </w:pPr>
    </w:p>
    <w:p w:rsidR="00462908" w:rsidRPr="00D946C4" w:rsidRDefault="00462908" w:rsidP="00462908">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Bancóldex S.A., para  asegurar un adecuado nivel de confidencialidad, integridad y disponibilidad en su información. </w:t>
      </w: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Bancóldex y su información.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Cintoteca o cualquier otro sitio declarado como de acceso restringido en el Banco, sin  un acompañante o con la debida autorización, para lo cual se compromete a dejar registro en las bitácoras dispuestas para tal fin.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Asegurar que al término del contrato, toda información, software, dispositivos y demás elementos tecnológicos de propiedad del Banco serán eliminados de los equipos del proveedor, atendiendo los acuerdos de confidencialidad.</w:t>
      </w:r>
    </w:p>
    <w:p w:rsidR="00462908" w:rsidRPr="00D946C4" w:rsidRDefault="00462908" w:rsidP="00462908">
      <w:pPr>
        <w:pStyle w:val="Prrafodelista"/>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462908" w:rsidRPr="00D946C4" w:rsidRDefault="00462908" w:rsidP="00462908">
      <w:pPr>
        <w:pStyle w:val="Prrafodelista"/>
        <w:rPr>
          <w:rFonts w:asciiTheme="minorHAnsi" w:hAnsiTheme="minorHAnsi" w:cstheme="minorHAnsi"/>
        </w:rPr>
      </w:pPr>
    </w:p>
    <w:p w:rsidR="00462908"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AA6E98" w:rsidRPr="00AA6E98" w:rsidRDefault="00AA6E98" w:rsidP="00462908">
      <w:pPr>
        <w:numPr>
          <w:ilvl w:val="0"/>
          <w:numId w:val="1"/>
        </w:numPr>
        <w:tabs>
          <w:tab w:val="clear" w:pos="720"/>
          <w:tab w:val="num" w:pos="426"/>
        </w:tabs>
        <w:spacing w:after="0"/>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462908" w:rsidRPr="00D946C4" w:rsidRDefault="00462908" w:rsidP="00462908">
      <w:pPr>
        <w:pStyle w:val="Prrafodelista"/>
        <w:rPr>
          <w:rFonts w:asciiTheme="minorHAnsi" w:hAnsiTheme="minorHAnsi" w:cstheme="minorHAnsi"/>
        </w:rPr>
      </w:pP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Bancóldex recibirá durante el contrato copias de respaldo periódicas que  minimicen la dependencia total del proveedor en tal sentido.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462908"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 xml:space="preserve">Bogotá D.C., &lt;Fecha de creación-&lt;DD-MM-AAAA&gt;&gt; </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 xml:space="preserve">Señores </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 xml:space="preserve">Banco de Comercio Exterior de Colombia S.A - Bancóldex </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 xml:space="preserve">Calle 28 No. 13 A - 15 Piso 40 </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Ciudad</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Estimados Señores:</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 xml:space="preserve">Cordialmente, </w:t>
      </w:r>
    </w:p>
    <w:p w:rsidR="00AA6E98" w:rsidRPr="00AA6E98" w:rsidRDefault="00AA6E98" w:rsidP="00AA6E98">
      <w:pPr>
        <w:pBdr>
          <w:bottom w:val="single" w:sz="12" w:space="1" w:color="auto"/>
        </w:pBdr>
        <w:spacing w:line="276" w:lineRule="auto"/>
        <w:jc w:val="both"/>
        <w:rPr>
          <w:rFonts w:asciiTheme="minorHAnsi" w:hAnsiTheme="minorHAnsi" w:cstheme="minorHAnsi"/>
        </w:rPr>
      </w:pPr>
    </w:p>
    <w:p w:rsid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Firma</w:t>
      </w:r>
    </w:p>
    <w:p w:rsidR="00AA6E98" w:rsidRPr="00AA6E98" w:rsidRDefault="00AA6E98" w:rsidP="00AA6E98">
      <w:pPr>
        <w:spacing w:line="276" w:lineRule="auto"/>
        <w:jc w:val="both"/>
        <w:rPr>
          <w:rFonts w:asciiTheme="minorHAnsi" w:hAnsiTheme="minorHAnsi" w:cstheme="minorHAnsi"/>
        </w:rPr>
      </w:pPr>
      <w:r w:rsidRPr="00AA6E98">
        <w:rPr>
          <w:rFonts w:asciiTheme="minorHAnsi" w:hAnsiTheme="minorHAnsi" w:cstheme="minorHAnsi"/>
        </w:rPr>
        <w:t>Cédula:</w:t>
      </w:r>
    </w:p>
    <w:p w:rsidR="00AA6E98" w:rsidRPr="00AA6E98" w:rsidRDefault="00AA6E98" w:rsidP="00AA6E98">
      <w:pPr>
        <w:spacing w:line="276" w:lineRule="auto"/>
        <w:jc w:val="both"/>
        <w:rPr>
          <w:rFonts w:asciiTheme="minorHAnsi" w:hAnsiTheme="minorHAnsi" w:cstheme="minorHAnsi"/>
        </w:rPr>
      </w:pPr>
    </w:p>
    <w:sectPr w:rsidR="00AA6E98" w:rsidRPr="00AA6E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08"/>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5F1"/>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2908"/>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1A5"/>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A6E98"/>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4C0ED37-5163-4A70-911A-AF315E74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08"/>
    <w:pPr>
      <w:spacing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462908"/>
    <w:pPr>
      <w:ind w:left="720"/>
      <w:contextualSpacing/>
    </w:pPr>
  </w:style>
  <w:style w:type="paragraph" w:customStyle="1" w:styleId="Default">
    <w:name w:val="Default"/>
    <w:link w:val="DefaultCar"/>
    <w:rsid w:val="00462908"/>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462908"/>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462908"/>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4911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Maria Camila Guzman Lozano</cp:lastModifiedBy>
  <cp:revision>3</cp:revision>
  <dcterms:created xsi:type="dcterms:W3CDTF">2017-08-01T21:32:00Z</dcterms:created>
  <dcterms:modified xsi:type="dcterms:W3CDTF">2017-08-04T21:52:00Z</dcterms:modified>
</cp:coreProperties>
</file>