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94FE" w14:textId="77777777" w:rsidR="00133945" w:rsidRDefault="00133945">
      <w:pPr>
        <w:spacing w:after="0"/>
        <w:ind w:left="-1440" w:right="717"/>
      </w:pPr>
    </w:p>
    <w:tbl>
      <w:tblPr>
        <w:tblStyle w:val="TableGrid"/>
        <w:tblW w:w="12935" w:type="dxa"/>
        <w:tblInd w:w="13" w:type="dxa"/>
        <w:tblCellMar>
          <w:top w:w="41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050"/>
        <w:gridCol w:w="3553"/>
        <w:gridCol w:w="1783"/>
        <w:gridCol w:w="2451"/>
        <w:gridCol w:w="2098"/>
      </w:tblGrid>
      <w:tr w:rsidR="00133945" w14:paraId="5BF8AE71" w14:textId="77777777">
        <w:trPr>
          <w:trHeight w:val="991"/>
        </w:trPr>
        <w:tc>
          <w:tcPr>
            <w:tcW w:w="6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EBF7"/>
            <w:vAlign w:val="center"/>
          </w:tcPr>
          <w:p w14:paraId="428F7491" w14:textId="53F30FC6" w:rsidR="00133945" w:rsidRDefault="00300CA6">
            <w:pPr>
              <w:spacing w:after="0"/>
            </w:pPr>
            <w:r>
              <w:rPr>
                <w:b/>
                <w:sz w:val="16"/>
              </w:rPr>
              <w:t>Nombre del Plan</w:t>
            </w:r>
            <w:r>
              <w:rPr>
                <w:b/>
                <w:sz w:val="16"/>
              </w:rPr>
              <w:t>:      Seguridad y Privacidad de la Información</w:t>
            </w: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EBF7"/>
          </w:tcPr>
          <w:p w14:paraId="1477C388" w14:textId="77777777" w:rsidR="00133945" w:rsidRDefault="00133945"/>
        </w:tc>
        <w:tc>
          <w:tcPr>
            <w:tcW w:w="45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14:paraId="5194FE9D" w14:textId="77777777" w:rsidR="00133945" w:rsidRDefault="00300CA6">
            <w:pPr>
              <w:spacing w:after="0"/>
              <w:ind w:left="1293"/>
            </w:pPr>
            <w:r>
              <w:rPr>
                <w:noProof/>
              </w:rPr>
              <w:drawing>
                <wp:inline distT="0" distB="0" distL="0" distR="0" wp14:anchorId="6C6CF5B1" wp14:editId="2B1A87F4">
                  <wp:extent cx="1602232" cy="439712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32" cy="43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945" w14:paraId="7A4C3C6C" w14:textId="77777777">
        <w:trPr>
          <w:trHeight w:val="46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903FC" w14:textId="77777777" w:rsidR="00133945" w:rsidRDefault="00300CA6">
            <w:pPr>
              <w:spacing w:after="0"/>
              <w:ind w:left="203" w:right="203"/>
              <w:jc w:val="center"/>
            </w:pPr>
            <w:r>
              <w:rPr>
                <w:b/>
                <w:sz w:val="16"/>
              </w:rPr>
              <w:t>Línea Estratégica con la cual se relaciona el Plan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2AB9B6" w14:textId="77777777" w:rsidR="00133945" w:rsidRDefault="00300CA6">
            <w:pPr>
              <w:spacing w:after="0"/>
              <w:ind w:right="7"/>
              <w:jc w:val="center"/>
            </w:pPr>
            <w:r>
              <w:rPr>
                <w:b/>
                <w:sz w:val="16"/>
              </w:rPr>
              <w:t>Actividad Macro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23229B" w14:textId="77777777" w:rsidR="00133945" w:rsidRDefault="00300CA6">
            <w:pPr>
              <w:spacing w:after="0"/>
              <w:ind w:left="2"/>
              <w:jc w:val="center"/>
            </w:pPr>
            <w:r>
              <w:rPr>
                <w:b/>
                <w:sz w:val="16"/>
              </w:rPr>
              <w:t>Fecha de realización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36396" w14:textId="77777777" w:rsidR="00133945" w:rsidRDefault="00300CA6">
            <w:pPr>
              <w:spacing w:after="0"/>
              <w:ind w:right="53"/>
              <w:jc w:val="center"/>
            </w:pPr>
            <w:r>
              <w:rPr>
                <w:b/>
                <w:sz w:val="16"/>
              </w:rPr>
              <w:t>Responsable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042B7" w14:textId="77777777" w:rsidR="00133945" w:rsidRDefault="00300CA6">
            <w:pPr>
              <w:spacing w:after="0"/>
              <w:ind w:left="1"/>
              <w:jc w:val="center"/>
            </w:pPr>
            <w:r>
              <w:rPr>
                <w:b/>
                <w:sz w:val="16"/>
              </w:rPr>
              <w:t>Entregable</w:t>
            </w:r>
          </w:p>
        </w:tc>
      </w:tr>
      <w:tr w:rsidR="00133945" w14:paraId="42AB155C" w14:textId="77777777">
        <w:trPr>
          <w:trHeight w:val="466"/>
        </w:trPr>
        <w:tc>
          <w:tcPr>
            <w:tcW w:w="3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E22F" w14:textId="77777777" w:rsidR="00133945" w:rsidRDefault="00300CA6">
            <w:pPr>
              <w:spacing w:after="0" w:line="257" w:lineRule="auto"/>
              <w:jc w:val="center"/>
            </w:pPr>
            <w:r>
              <w:rPr>
                <w:b/>
                <w:sz w:val="16"/>
              </w:rPr>
              <w:t xml:space="preserve">CLIENTES </w:t>
            </w:r>
            <w:r>
              <w:rPr>
                <w:sz w:val="16"/>
              </w:rPr>
              <w:t>– Lograr la meta de desembolsos en pesos y dólares para la presente vigencia.</w:t>
            </w:r>
          </w:p>
          <w:p w14:paraId="58101517" w14:textId="77777777" w:rsidR="00133945" w:rsidRDefault="00300CA6">
            <w:pPr>
              <w:spacing w:after="0" w:line="257" w:lineRule="auto"/>
              <w:jc w:val="center"/>
            </w:pPr>
            <w:r>
              <w:rPr>
                <w:b/>
                <w:sz w:val="16"/>
              </w:rPr>
              <w:t xml:space="preserve">CLIENTES </w:t>
            </w:r>
            <w:r>
              <w:rPr>
                <w:sz w:val="16"/>
              </w:rPr>
              <w:t>– Lograr el nivel de desembolsos en los plazos óptimos para crecimiento de la cartera.</w:t>
            </w:r>
          </w:p>
          <w:p w14:paraId="7C060265" w14:textId="77777777" w:rsidR="00133945" w:rsidRDefault="00300CA6">
            <w:pPr>
              <w:spacing w:after="0" w:line="257" w:lineRule="auto"/>
              <w:jc w:val="center"/>
            </w:pPr>
            <w:r>
              <w:rPr>
                <w:b/>
                <w:sz w:val="16"/>
              </w:rPr>
              <w:t xml:space="preserve">CLIENTES – </w:t>
            </w:r>
            <w:r>
              <w:rPr>
                <w:sz w:val="16"/>
              </w:rPr>
              <w:t>Cumplir con el saldo de cartera proyectado como principal activo produc</w:t>
            </w:r>
            <w:r>
              <w:rPr>
                <w:sz w:val="16"/>
              </w:rPr>
              <w:t>tivo del Banco.</w:t>
            </w:r>
          </w:p>
          <w:p w14:paraId="0D96E43D" w14:textId="77777777" w:rsidR="00133945" w:rsidRDefault="00300CA6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PROCESOS </w:t>
            </w:r>
            <w:r>
              <w:rPr>
                <w:sz w:val="16"/>
              </w:rPr>
              <w:t>– Cumplir la meta de eficiencia establecida para los gastos de funcionamiento en función del margen financiero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C243" w14:textId="77777777" w:rsidR="00133945" w:rsidRDefault="00300CA6">
            <w:pPr>
              <w:spacing w:after="0"/>
              <w:ind w:left="306"/>
            </w:pPr>
            <w:r>
              <w:rPr>
                <w:sz w:val="16"/>
              </w:rPr>
              <w:t>Requisitos en nuevos proyectos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F76D4" w14:textId="77777777" w:rsidR="00133945" w:rsidRDefault="00300CA6">
            <w:pPr>
              <w:spacing w:after="0"/>
              <w:ind w:left="4"/>
              <w:jc w:val="center"/>
            </w:pPr>
            <w:r>
              <w:rPr>
                <w:sz w:val="16"/>
              </w:rPr>
              <w:t>Q1, Q2, Q3 y Q4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91D5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OFICINA SEGURIDAD DE LA INFORMACIÓN- OSI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8B04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TDR y contratos con proveedores</w:t>
            </w:r>
          </w:p>
        </w:tc>
      </w:tr>
      <w:tr w:rsidR="00133945" w14:paraId="02AE2CD7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5F3C78" w14:textId="77777777" w:rsidR="00133945" w:rsidRDefault="00133945"/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9D76" w14:textId="77777777" w:rsidR="00133945" w:rsidRDefault="00300CA6">
            <w:pPr>
              <w:spacing w:after="0"/>
              <w:ind w:left="306"/>
            </w:pPr>
            <w:r>
              <w:rPr>
                <w:sz w:val="16"/>
              </w:rPr>
              <w:t>Actualización SGSI de la organización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97D9" w14:textId="7CC28A63" w:rsidR="00133945" w:rsidRDefault="004A4DE4" w:rsidP="004A4DE4">
            <w:pPr>
              <w:spacing w:after="0"/>
              <w:ind w:left="4"/>
              <w:jc w:val="center"/>
            </w:pPr>
            <w:r w:rsidRPr="004A4DE4">
              <w:rPr>
                <w:sz w:val="16"/>
              </w:rPr>
              <w:t>Continua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53D2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OFICINA SEGURIDAD DE LA INFORMACIÓN- OSI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8006" w14:textId="5199C02B" w:rsidR="00133945" w:rsidRDefault="004A4DE4">
            <w:pPr>
              <w:spacing w:after="0"/>
              <w:jc w:val="center"/>
            </w:pPr>
            <w:r>
              <w:rPr>
                <w:sz w:val="16"/>
              </w:rPr>
              <w:t>Acta reunión revisión del SGSI</w:t>
            </w:r>
          </w:p>
        </w:tc>
      </w:tr>
      <w:tr w:rsidR="00133945" w14:paraId="21385F72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AF298" w14:textId="77777777" w:rsidR="00133945" w:rsidRDefault="00133945"/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9DCB" w14:textId="77777777" w:rsidR="00133945" w:rsidRDefault="00300CA6">
            <w:pPr>
              <w:spacing w:after="0"/>
              <w:ind w:left="306"/>
            </w:pPr>
            <w:r>
              <w:rPr>
                <w:sz w:val="16"/>
              </w:rPr>
              <w:t>Actualización de riesgo de seguridad de la información activos críticos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46CB" w14:textId="6E04EE76" w:rsidR="00133945" w:rsidRDefault="004A4DE4">
            <w:pPr>
              <w:spacing w:after="0"/>
              <w:ind w:left="2"/>
              <w:jc w:val="center"/>
            </w:pPr>
            <w:r>
              <w:rPr>
                <w:sz w:val="16"/>
              </w:rPr>
              <w:t>Q1, Q2, Q3 y Q4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AF9D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OFICINA SEGURIDAD DE LA INFORMACIÓN- OSI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FA04" w14:textId="77777777" w:rsidR="00133945" w:rsidRDefault="00300CA6">
            <w:pPr>
              <w:spacing w:after="0"/>
              <w:ind w:left="8"/>
              <w:jc w:val="center"/>
            </w:pPr>
            <w:r>
              <w:rPr>
                <w:sz w:val="16"/>
              </w:rPr>
              <w:t>Matriz de riesgo de seguridad de la información activos críticos actualizada</w:t>
            </w:r>
          </w:p>
        </w:tc>
      </w:tr>
      <w:tr w:rsidR="00133945" w14:paraId="39F4E67E" w14:textId="7777777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1B0FEC" w14:textId="77777777" w:rsidR="00133945" w:rsidRDefault="00133945"/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BF68" w14:textId="77777777" w:rsidR="00133945" w:rsidRDefault="00300CA6">
            <w:pPr>
              <w:spacing w:after="0"/>
              <w:ind w:left="306"/>
            </w:pPr>
            <w:r>
              <w:rPr>
                <w:sz w:val="16"/>
              </w:rPr>
              <w:t>Actualización activos de información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B733" w14:textId="540059DD" w:rsidR="00133945" w:rsidRDefault="004A4DE4">
            <w:pPr>
              <w:spacing w:after="0"/>
              <w:ind w:left="2"/>
              <w:jc w:val="center"/>
            </w:pPr>
            <w:r>
              <w:rPr>
                <w:sz w:val="16"/>
              </w:rPr>
              <w:t>Q1, Q2, Q3 y Q4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DEC5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OFICINA SEGURIDAD DE LA INFORMACIÓN- OSI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7EABB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Matrices de activos de información actualizadas</w:t>
            </w:r>
          </w:p>
        </w:tc>
      </w:tr>
      <w:tr w:rsidR="00133945" w14:paraId="689B1A9D" w14:textId="77777777">
        <w:trPr>
          <w:trHeight w:val="12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5275" w14:textId="77777777" w:rsidR="00133945" w:rsidRDefault="00133945"/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70E73" w14:textId="77777777" w:rsidR="00133945" w:rsidRDefault="00300CA6">
            <w:pPr>
              <w:spacing w:after="0"/>
              <w:ind w:left="155"/>
            </w:pPr>
            <w:r>
              <w:rPr>
                <w:sz w:val="16"/>
              </w:rPr>
              <w:t>Sensibilizaciones en seguridad, privacidad y ciberseguridad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2113E" w14:textId="77777777" w:rsidR="00133945" w:rsidRDefault="00300CA6">
            <w:pPr>
              <w:spacing w:after="0"/>
              <w:ind w:left="4"/>
              <w:jc w:val="center"/>
            </w:pPr>
            <w:r>
              <w:rPr>
                <w:sz w:val="16"/>
              </w:rPr>
              <w:t>Q1, Q2, Q3 y Q4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C6299" w14:textId="77777777" w:rsidR="00133945" w:rsidRDefault="00300CA6">
            <w:pPr>
              <w:spacing w:after="0"/>
              <w:jc w:val="center"/>
            </w:pPr>
            <w:r>
              <w:rPr>
                <w:sz w:val="16"/>
              </w:rPr>
              <w:t>OFICINA SEGURIDAD DE LA INFORMACIÓN- OSI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50C9" w14:textId="1A343BC1" w:rsidR="00133945" w:rsidRDefault="00300CA6">
            <w:pPr>
              <w:spacing w:after="0"/>
              <w:ind w:left="4"/>
              <w:jc w:val="center"/>
            </w:pPr>
            <w:r>
              <w:rPr>
                <w:sz w:val="16"/>
              </w:rPr>
              <w:t>Presentación</w:t>
            </w:r>
          </w:p>
        </w:tc>
      </w:tr>
    </w:tbl>
    <w:p w14:paraId="2158F2F2" w14:textId="77777777" w:rsidR="00300CA6" w:rsidRDefault="00300CA6"/>
    <w:sectPr w:rsidR="00300CA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45"/>
    <w:rsid w:val="00133945"/>
    <w:rsid w:val="00300CA6"/>
    <w:rsid w:val="00452408"/>
    <w:rsid w:val="004A4DE4"/>
    <w:rsid w:val="009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B895F"/>
  <w15:docId w15:val="{59BD4DD7-AAD9-46CB-9A71-9976764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Aillen Acuña Lozada</dc:creator>
  <cp:keywords/>
  <cp:lastModifiedBy>Vivian Andrea Gutiérrez Rojas</cp:lastModifiedBy>
  <cp:revision>3</cp:revision>
  <dcterms:created xsi:type="dcterms:W3CDTF">2022-01-28T17:48:00Z</dcterms:created>
  <dcterms:modified xsi:type="dcterms:W3CDTF">2022-01-28T17:49:00Z</dcterms:modified>
</cp:coreProperties>
</file>