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FDE1" w14:textId="77777777" w:rsidR="00BE7A12" w:rsidRDefault="00BE7A12">
      <w:pPr>
        <w:spacing w:after="0"/>
        <w:ind w:left="-1440" w:right="686"/>
      </w:pPr>
    </w:p>
    <w:tbl>
      <w:tblPr>
        <w:tblStyle w:val="TableGrid"/>
        <w:tblW w:w="13654" w:type="dxa"/>
        <w:tblInd w:w="-419" w:type="dxa"/>
        <w:tblCellMar>
          <w:top w:w="42" w:type="dxa"/>
          <w:left w:w="25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773"/>
        <w:gridCol w:w="3771"/>
        <w:gridCol w:w="1951"/>
        <w:gridCol w:w="2197"/>
        <w:gridCol w:w="2962"/>
      </w:tblGrid>
      <w:tr w:rsidR="00BE7A12" w14:paraId="7423888B" w14:textId="77777777">
        <w:trPr>
          <w:trHeight w:val="1095"/>
        </w:trPr>
        <w:tc>
          <w:tcPr>
            <w:tcW w:w="65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DEBF7"/>
            <w:vAlign w:val="center"/>
          </w:tcPr>
          <w:p w14:paraId="39966BD1" w14:textId="76E4DDF4" w:rsidR="00BE7A12" w:rsidRDefault="009378AB">
            <w:pPr>
              <w:spacing w:after="0"/>
              <w:ind w:left="5"/>
              <w:jc w:val="both"/>
            </w:pPr>
            <w:r>
              <w:rPr>
                <w:b/>
                <w:sz w:val="17"/>
              </w:rPr>
              <w:t>Nombre del Plan</w:t>
            </w:r>
            <w:r>
              <w:rPr>
                <w:b/>
                <w:sz w:val="17"/>
              </w:rPr>
              <w:t>:       Tratamiento de Riesgos de Seguridad y Privacidad de la Información</w:t>
            </w:r>
          </w:p>
        </w:tc>
        <w:tc>
          <w:tcPr>
            <w:tcW w:w="19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DEBF7"/>
          </w:tcPr>
          <w:p w14:paraId="5AB30AEA" w14:textId="77777777" w:rsidR="00BE7A12" w:rsidRDefault="00BE7A12"/>
        </w:tc>
        <w:tc>
          <w:tcPr>
            <w:tcW w:w="515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21B6929E" w14:textId="77777777" w:rsidR="00BE7A12" w:rsidRDefault="009378AB">
            <w:pPr>
              <w:spacing w:after="0"/>
              <w:ind w:left="1390"/>
            </w:pPr>
            <w:r>
              <w:rPr>
                <w:noProof/>
              </w:rPr>
              <w:drawing>
                <wp:inline distT="0" distB="0" distL="0" distR="0" wp14:anchorId="0509F3D7" wp14:editId="69DC29AA">
                  <wp:extent cx="1766316" cy="484810"/>
                  <wp:effectExtent l="0" t="0" r="0" b="0"/>
                  <wp:docPr id="69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316" cy="4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A12" w14:paraId="41DC43E5" w14:textId="77777777">
        <w:trPr>
          <w:trHeight w:val="514"/>
        </w:trPr>
        <w:tc>
          <w:tcPr>
            <w:tcW w:w="2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14:paraId="123A31D6" w14:textId="77777777" w:rsidR="00BE7A12" w:rsidRDefault="009378AB">
            <w:pPr>
              <w:spacing w:after="0"/>
              <w:jc w:val="center"/>
            </w:pPr>
            <w:r>
              <w:rPr>
                <w:b/>
                <w:sz w:val="17"/>
              </w:rPr>
              <w:t>Línea Estratégica con la cual se relaciona el Plan</w:t>
            </w:r>
          </w:p>
        </w:tc>
        <w:tc>
          <w:tcPr>
            <w:tcW w:w="3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14:paraId="5D96A39A" w14:textId="77777777" w:rsidR="00BE7A12" w:rsidRDefault="009378AB">
            <w:pPr>
              <w:spacing w:after="0"/>
              <w:ind w:right="77"/>
              <w:jc w:val="center"/>
            </w:pPr>
            <w:r>
              <w:rPr>
                <w:b/>
                <w:sz w:val="17"/>
              </w:rPr>
              <w:t>Actividad Macro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14:paraId="770F2202" w14:textId="77777777" w:rsidR="00BE7A12" w:rsidRDefault="009378AB">
            <w:pPr>
              <w:spacing w:after="0"/>
              <w:ind w:left="25"/>
              <w:jc w:val="center"/>
            </w:pPr>
            <w:r>
              <w:rPr>
                <w:b/>
                <w:sz w:val="17"/>
              </w:rPr>
              <w:t>Fecha de realización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14:paraId="1A98A97B" w14:textId="77777777" w:rsidR="00BE7A12" w:rsidRDefault="009378AB">
            <w:pPr>
              <w:spacing w:after="0"/>
              <w:ind w:left="460"/>
            </w:pPr>
            <w:r>
              <w:rPr>
                <w:b/>
                <w:sz w:val="17"/>
              </w:rPr>
              <w:t>Responsable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14:paraId="6DAA85CF" w14:textId="77777777" w:rsidR="00BE7A12" w:rsidRDefault="009378AB">
            <w:pPr>
              <w:spacing w:after="0"/>
              <w:ind w:left="29"/>
              <w:jc w:val="center"/>
            </w:pPr>
            <w:r>
              <w:rPr>
                <w:b/>
                <w:sz w:val="17"/>
              </w:rPr>
              <w:t>Entregable</w:t>
            </w:r>
          </w:p>
        </w:tc>
      </w:tr>
      <w:tr w:rsidR="00BE7A12" w14:paraId="21A39F91" w14:textId="77777777">
        <w:trPr>
          <w:trHeight w:val="951"/>
        </w:trPr>
        <w:tc>
          <w:tcPr>
            <w:tcW w:w="277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57F09" w14:textId="77777777" w:rsidR="00BE7A12" w:rsidRDefault="009378AB">
            <w:pPr>
              <w:spacing w:after="0" w:line="261" w:lineRule="auto"/>
            </w:pPr>
            <w:r>
              <w:rPr>
                <w:b/>
                <w:sz w:val="14"/>
              </w:rPr>
              <w:t xml:space="preserve">CLIENTES </w:t>
            </w:r>
            <w:r>
              <w:rPr>
                <w:sz w:val="14"/>
              </w:rPr>
              <w:t xml:space="preserve">– Lograr la meta de desembolsos en pesos y dólares para la presente vigencia </w:t>
            </w:r>
            <w:r>
              <w:rPr>
                <w:b/>
                <w:sz w:val="14"/>
              </w:rPr>
              <w:t xml:space="preserve">CLIENTES </w:t>
            </w:r>
            <w:r>
              <w:rPr>
                <w:sz w:val="14"/>
              </w:rPr>
              <w:t>– Lograr el nivel de desembolsos en los plazos óptimos para crecimiento de la cartera</w:t>
            </w:r>
          </w:p>
          <w:p w14:paraId="4B8743C0" w14:textId="77777777" w:rsidR="00BE7A12" w:rsidRDefault="009378AB">
            <w:pPr>
              <w:spacing w:after="0" w:line="261" w:lineRule="auto"/>
            </w:pPr>
            <w:r>
              <w:rPr>
                <w:b/>
                <w:sz w:val="14"/>
              </w:rPr>
              <w:t xml:space="preserve">CLIENTES </w:t>
            </w:r>
            <w:r>
              <w:rPr>
                <w:sz w:val="14"/>
              </w:rPr>
              <w:t>– Cumplir con el saldo de cartera proyectado como principal activo producti</w:t>
            </w:r>
            <w:r>
              <w:rPr>
                <w:sz w:val="14"/>
              </w:rPr>
              <w:t>vo del Banco.</w:t>
            </w:r>
          </w:p>
          <w:p w14:paraId="1F3F0188" w14:textId="77777777" w:rsidR="00BE7A12" w:rsidRDefault="009378AB">
            <w:pPr>
              <w:spacing w:after="0"/>
            </w:pPr>
            <w:r>
              <w:rPr>
                <w:b/>
                <w:sz w:val="14"/>
              </w:rPr>
              <w:t xml:space="preserve">PROCESOS </w:t>
            </w:r>
            <w:r>
              <w:rPr>
                <w:sz w:val="14"/>
              </w:rPr>
              <w:t>– Cumplir la meta de eficiencia establecida para los gastos de funcionamiento en función del margen financiero</w:t>
            </w:r>
          </w:p>
        </w:tc>
        <w:tc>
          <w:tcPr>
            <w:tcW w:w="3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A7DA5" w14:textId="77777777" w:rsidR="00BE7A12" w:rsidRDefault="009378AB">
            <w:pPr>
              <w:spacing w:after="0"/>
              <w:jc w:val="center"/>
            </w:pPr>
            <w:r>
              <w:rPr>
                <w:sz w:val="17"/>
              </w:rPr>
              <w:t>Elaboración de mapas de riesgos asociados a seguridad, privacidad y ciberseguridad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30879" w14:textId="164F2FAE" w:rsidR="00BE7A12" w:rsidRDefault="009378AB">
            <w:pPr>
              <w:spacing w:after="0"/>
              <w:ind w:left="26"/>
              <w:jc w:val="center"/>
            </w:pPr>
            <w:r>
              <w:rPr>
                <w:sz w:val="17"/>
              </w:rPr>
              <w:t>Q1,</w:t>
            </w:r>
            <w:r w:rsidR="00537C21">
              <w:rPr>
                <w:sz w:val="17"/>
              </w:rPr>
              <w:t xml:space="preserve"> </w:t>
            </w:r>
            <w:r>
              <w:rPr>
                <w:sz w:val="17"/>
              </w:rPr>
              <w:t>Q2,</w:t>
            </w:r>
            <w:r w:rsidR="00537C21">
              <w:rPr>
                <w:sz w:val="17"/>
              </w:rPr>
              <w:t xml:space="preserve"> </w:t>
            </w:r>
            <w:r>
              <w:rPr>
                <w:sz w:val="17"/>
              </w:rPr>
              <w:t>Q3,</w:t>
            </w:r>
            <w:r w:rsidR="00537C21">
              <w:rPr>
                <w:sz w:val="17"/>
              </w:rPr>
              <w:t xml:space="preserve"> </w:t>
            </w:r>
            <w:r>
              <w:rPr>
                <w:sz w:val="17"/>
              </w:rPr>
              <w:t>Q4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8C227" w14:textId="77777777" w:rsidR="00BE7A12" w:rsidRDefault="009378AB">
            <w:pPr>
              <w:spacing w:after="0"/>
              <w:ind w:left="27"/>
              <w:jc w:val="center"/>
            </w:pPr>
            <w:r>
              <w:rPr>
                <w:sz w:val="17"/>
              </w:rPr>
              <w:t xml:space="preserve">Oficina Seguridad de la </w:t>
            </w:r>
          </w:p>
          <w:p w14:paraId="060D34DA" w14:textId="77777777" w:rsidR="00BE7A12" w:rsidRDefault="009378AB">
            <w:pPr>
              <w:spacing w:after="0"/>
              <w:ind w:left="25"/>
              <w:jc w:val="center"/>
            </w:pPr>
            <w:r>
              <w:rPr>
                <w:sz w:val="17"/>
              </w:rPr>
              <w:t>Información - Oficina de</w:t>
            </w:r>
          </w:p>
          <w:p w14:paraId="43B14B23" w14:textId="77777777" w:rsidR="00BE7A12" w:rsidRDefault="009378AB">
            <w:pPr>
              <w:spacing w:after="0"/>
              <w:ind w:left="28"/>
              <w:jc w:val="center"/>
            </w:pPr>
            <w:r>
              <w:rPr>
                <w:sz w:val="17"/>
              </w:rPr>
              <w:t>Riesgo Operativo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C638C" w14:textId="77777777" w:rsidR="00BE7A12" w:rsidRDefault="009378AB">
            <w:pPr>
              <w:spacing w:after="0"/>
              <w:ind w:left="28"/>
              <w:jc w:val="center"/>
            </w:pPr>
            <w:r>
              <w:rPr>
                <w:sz w:val="17"/>
              </w:rPr>
              <w:t>Mapas de riesgo</w:t>
            </w:r>
          </w:p>
        </w:tc>
      </w:tr>
      <w:tr w:rsidR="00BE7A12" w14:paraId="7CF79495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D2D4FE0" w14:textId="77777777" w:rsidR="00BE7A12" w:rsidRDefault="00BE7A12"/>
        </w:tc>
        <w:tc>
          <w:tcPr>
            <w:tcW w:w="3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E01D0" w14:textId="0C37FBE8" w:rsidR="00BE7A12" w:rsidRDefault="009378AB">
            <w:pPr>
              <w:spacing w:after="0"/>
              <w:ind w:left="36"/>
              <w:jc w:val="center"/>
            </w:pPr>
            <w:r>
              <w:rPr>
                <w:sz w:val="17"/>
              </w:rPr>
              <w:t xml:space="preserve">Sensibilización y cultura corporativa y de </w:t>
            </w:r>
            <w:r w:rsidR="00537C21">
              <w:rPr>
                <w:sz w:val="17"/>
              </w:rPr>
              <w:t>terceros en</w:t>
            </w:r>
            <w:r>
              <w:rPr>
                <w:sz w:val="17"/>
              </w:rPr>
              <w:t xml:space="preserve"> gestión de riesgos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886AB" w14:textId="7039F97D" w:rsidR="00BE7A12" w:rsidRDefault="009378AB">
            <w:pPr>
              <w:spacing w:after="0"/>
              <w:ind w:left="26"/>
              <w:jc w:val="center"/>
            </w:pPr>
            <w:r>
              <w:rPr>
                <w:sz w:val="17"/>
              </w:rPr>
              <w:t>Q1, Q2, Q3,</w:t>
            </w:r>
            <w:r w:rsidR="00537C21">
              <w:rPr>
                <w:sz w:val="17"/>
              </w:rPr>
              <w:t xml:space="preserve"> </w:t>
            </w:r>
            <w:r>
              <w:rPr>
                <w:sz w:val="17"/>
              </w:rPr>
              <w:t>Q4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31C92" w14:textId="77777777" w:rsidR="00BE7A12" w:rsidRDefault="009378AB">
            <w:pPr>
              <w:spacing w:after="0"/>
              <w:ind w:left="27"/>
              <w:jc w:val="center"/>
            </w:pPr>
            <w:r>
              <w:rPr>
                <w:sz w:val="17"/>
              </w:rPr>
              <w:t xml:space="preserve">Oficina Seguridad de la </w:t>
            </w:r>
          </w:p>
          <w:p w14:paraId="1EFBEDB3" w14:textId="22191B15" w:rsidR="00BE7A12" w:rsidRDefault="009378AB">
            <w:pPr>
              <w:spacing w:after="0"/>
              <w:jc w:val="center"/>
            </w:pPr>
            <w:r>
              <w:rPr>
                <w:sz w:val="17"/>
              </w:rPr>
              <w:t xml:space="preserve">Información </w:t>
            </w:r>
            <w:r>
              <w:rPr>
                <w:sz w:val="17"/>
              </w:rPr>
              <w:t>- Oficina de Riesgo Operativo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AABA4" w14:textId="51961D05" w:rsidR="00BE7A12" w:rsidRDefault="009378AB">
            <w:pPr>
              <w:spacing w:after="0"/>
              <w:ind w:left="29"/>
              <w:jc w:val="center"/>
            </w:pPr>
            <w:r>
              <w:rPr>
                <w:sz w:val="17"/>
              </w:rPr>
              <w:t>Pre</w:t>
            </w:r>
            <w:r w:rsidR="00537C21">
              <w:rPr>
                <w:sz w:val="17"/>
              </w:rPr>
              <w:t>s</w:t>
            </w:r>
            <w:r>
              <w:rPr>
                <w:sz w:val="17"/>
              </w:rPr>
              <w:t>entaci</w:t>
            </w:r>
            <w:r w:rsidR="00537C21">
              <w:rPr>
                <w:sz w:val="17"/>
              </w:rPr>
              <w:t>ón</w:t>
            </w:r>
          </w:p>
        </w:tc>
      </w:tr>
      <w:tr w:rsidR="00BE7A12" w14:paraId="282456E7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C0872" w14:textId="77777777" w:rsidR="00BE7A12" w:rsidRDefault="00BE7A12"/>
        </w:tc>
        <w:tc>
          <w:tcPr>
            <w:tcW w:w="3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CE20C" w14:textId="6B211BF2" w:rsidR="00BE7A12" w:rsidRDefault="009378AB">
            <w:pPr>
              <w:spacing w:after="0"/>
              <w:jc w:val="center"/>
            </w:pPr>
            <w:r>
              <w:rPr>
                <w:sz w:val="17"/>
              </w:rPr>
              <w:t xml:space="preserve">Actualización de políticas internas y regulatorias en seguridad, privacidad </w:t>
            </w:r>
            <w:r>
              <w:rPr>
                <w:sz w:val="17"/>
              </w:rPr>
              <w:t>y ciberseguridad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897A9" w14:textId="77777777" w:rsidR="00BE7A12" w:rsidRDefault="009378AB">
            <w:pPr>
              <w:spacing w:after="0"/>
              <w:ind w:left="31"/>
              <w:jc w:val="center"/>
            </w:pPr>
            <w:r>
              <w:rPr>
                <w:sz w:val="17"/>
              </w:rPr>
              <w:t>Continua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F1C2A" w14:textId="77777777" w:rsidR="00BE7A12" w:rsidRDefault="009378AB">
            <w:pPr>
              <w:spacing w:after="0"/>
              <w:jc w:val="center"/>
            </w:pPr>
            <w:r>
              <w:rPr>
                <w:sz w:val="17"/>
              </w:rPr>
              <w:t>Oficina Seguridad de la Información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85511" w14:textId="77777777" w:rsidR="00BE7A12" w:rsidRDefault="009378AB">
            <w:pPr>
              <w:spacing w:after="0"/>
              <w:ind w:left="81"/>
            </w:pPr>
            <w:r>
              <w:rPr>
                <w:sz w:val="17"/>
              </w:rPr>
              <w:t>Manual de seguridad de la información</w:t>
            </w:r>
          </w:p>
        </w:tc>
      </w:tr>
    </w:tbl>
    <w:p w14:paraId="15269AB6" w14:textId="77777777" w:rsidR="009378AB" w:rsidRDefault="009378AB"/>
    <w:sectPr w:rsidR="009378AB">
      <w:pgSz w:w="15840" w:h="12240" w:orient="landscape"/>
      <w:pgMar w:top="10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12"/>
    <w:rsid w:val="00537C21"/>
    <w:rsid w:val="009378AB"/>
    <w:rsid w:val="00AD19DB"/>
    <w:rsid w:val="00B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00BDF"/>
  <w15:docId w15:val="{59BD4DD7-AAD9-46CB-9A71-99767644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Aillen Acuña Lozada</dc:creator>
  <cp:keywords/>
  <cp:lastModifiedBy>Vivian Andrea Gutiérrez Rojas</cp:lastModifiedBy>
  <cp:revision>2</cp:revision>
  <dcterms:created xsi:type="dcterms:W3CDTF">2022-01-28T17:43:00Z</dcterms:created>
  <dcterms:modified xsi:type="dcterms:W3CDTF">2022-01-28T17:43:00Z</dcterms:modified>
</cp:coreProperties>
</file>